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5D44DE" w:rsidRPr="002168F4" w:rsidTr="00F33A35">
        <w:trPr>
          <w:cantSplit/>
        </w:trPr>
        <w:tc>
          <w:tcPr>
            <w:tcW w:w="9142" w:type="dxa"/>
            <w:gridSpan w:val="2"/>
            <w:tcBorders>
              <w:top w:val="nil"/>
              <w:left w:val="nil"/>
              <w:bottom w:val="nil"/>
              <w:right w:val="nil"/>
            </w:tcBorders>
          </w:tcPr>
          <w:p w:rsidR="005D44DE" w:rsidRPr="002168F4" w:rsidRDefault="005D44DE" w:rsidP="00F33A35">
            <w:pPr>
              <w:pStyle w:val="Amendement"/>
              <w:jc w:val="right"/>
              <w:rPr>
                <w:rFonts w:ascii="Times New Roman" w:hAnsi="Times New Roman" w:cs="Times New Roman"/>
              </w:rPr>
            </w:pPr>
            <w:bookmarkStart w:id="0" w:name="_GoBack"/>
            <w:bookmarkEnd w:id="0"/>
          </w:p>
        </w:tc>
      </w:tr>
      <w:tr w:rsidR="005D44DE" w:rsidRPr="002168F4" w:rsidTr="00F3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D44DE" w:rsidRPr="002168F4" w:rsidRDefault="005D44DE" w:rsidP="00F33A35">
            <w:pPr>
              <w:pStyle w:val="Amendement"/>
              <w:rPr>
                <w:rFonts w:ascii="Times New Roman" w:hAnsi="Times New Roman" w:cs="Times New Roman"/>
              </w:rPr>
            </w:pPr>
          </w:p>
        </w:tc>
        <w:tc>
          <w:tcPr>
            <w:tcW w:w="6590" w:type="dxa"/>
            <w:tcBorders>
              <w:top w:val="nil"/>
              <w:left w:val="nil"/>
              <w:bottom w:val="nil"/>
              <w:right w:val="nil"/>
            </w:tcBorders>
          </w:tcPr>
          <w:p w:rsidR="005D44DE" w:rsidRPr="002168F4" w:rsidRDefault="005D44DE" w:rsidP="00F33A35">
            <w:pPr>
              <w:tabs>
                <w:tab w:val="left" w:pos="-1440"/>
                <w:tab w:val="left" w:pos="-720"/>
              </w:tabs>
              <w:suppressAutoHyphens/>
              <w:rPr>
                <w:rFonts w:ascii="Times New Roman" w:hAnsi="Times New Roman"/>
                <w:b/>
                <w:bCs/>
              </w:rPr>
            </w:pPr>
          </w:p>
        </w:tc>
      </w:tr>
      <w:tr w:rsidR="005D44DE" w:rsidRPr="00CF282F" w:rsidTr="00F3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D44DE" w:rsidRPr="00CF282F" w:rsidRDefault="005B1DA8" w:rsidP="005D44DE">
            <w:pPr>
              <w:rPr>
                <w:rFonts w:ascii="Times New Roman" w:hAnsi="Times New Roman"/>
                <w:b/>
                <w:sz w:val="24"/>
              </w:rPr>
            </w:pPr>
            <w:r>
              <w:rPr>
                <w:rFonts w:ascii="Times New Roman" w:hAnsi="Times New Roman"/>
                <w:b/>
                <w:sz w:val="24"/>
              </w:rPr>
              <w:t>34 456</w:t>
            </w:r>
          </w:p>
        </w:tc>
        <w:tc>
          <w:tcPr>
            <w:tcW w:w="6590" w:type="dxa"/>
            <w:tcBorders>
              <w:top w:val="nil"/>
              <w:left w:val="nil"/>
              <w:bottom w:val="nil"/>
              <w:right w:val="nil"/>
            </w:tcBorders>
          </w:tcPr>
          <w:p w:rsidR="005D44DE" w:rsidRPr="00CF282F" w:rsidRDefault="005D44DE" w:rsidP="001C0963">
            <w:pPr>
              <w:rPr>
                <w:rFonts w:ascii="Times New Roman" w:hAnsi="Times New Roman"/>
                <w:b/>
                <w:sz w:val="24"/>
              </w:rPr>
            </w:pPr>
            <w:r w:rsidRPr="00CF282F">
              <w:rPr>
                <w:rFonts w:ascii="Times New Roman" w:hAnsi="Times New Roman"/>
                <w:b/>
                <w:sz w:val="24"/>
              </w:rPr>
              <w:t xml:space="preserve">Voorstel van wet van </w:t>
            </w:r>
            <w:r w:rsidR="001C0963">
              <w:rPr>
                <w:rFonts w:ascii="Times New Roman" w:hAnsi="Times New Roman"/>
                <w:b/>
                <w:sz w:val="24"/>
              </w:rPr>
              <w:t>het lid Verhoeven</w:t>
            </w:r>
            <w:r w:rsidRPr="00CF282F">
              <w:rPr>
                <w:rFonts w:ascii="Times New Roman" w:hAnsi="Times New Roman"/>
                <w:b/>
                <w:sz w:val="24"/>
              </w:rPr>
              <w:t xml:space="preserve"> tot wijziging van het Wetboek van Strafrecht en van het Wetboek van Strafrecht BES teneinde bijzondere bepalingen aangaande majesteitsschennis en de belediging van bevriende staatshoofden te doen vervallen</w:t>
            </w:r>
          </w:p>
        </w:tc>
      </w:tr>
      <w:tr w:rsidR="005D44DE" w:rsidRPr="00CF282F" w:rsidTr="00F3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p>
        </w:tc>
        <w:tc>
          <w:tcPr>
            <w:tcW w:w="6590"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p>
        </w:tc>
      </w:tr>
      <w:tr w:rsidR="005D44DE" w:rsidRPr="00CF282F" w:rsidTr="00F3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p>
        </w:tc>
        <w:tc>
          <w:tcPr>
            <w:tcW w:w="6590"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p>
        </w:tc>
      </w:tr>
      <w:tr w:rsidR="005D44DE" w:rsidRPr="00CF282F" w:rsidTr="00F33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r w:rsidRPr="00CF282F">
              <w:rPr>
                <w:rFonts w:ascii="Times New Roman" w:hAnsi="Times New Roman" w:cs="Times New Roman"/>
              </w:rPr>
              <w:t>Nr. 3</w:t>
            </w:r>
          </w:p>
        </w:tc>
        <w:tc>
          <w:tcPr>
            <w:tcW w:w="6590" w:type="dxa"/>
            <w:tcBorders>
              <w:top w:val="nil"/>
              <w:left w:val="nil"/>
              <w:bottom w:val="nil"/>
              <w:right w:val="nil"/>
            </w:tcBorders>
          </w:tcPr>
          <w:p w:rsidR="005D44DE" w:rsidRPr="00CF282F" w:rsidRDefault="005D44DE" w:rsidP="00F33A35">
            <w:pPr>
              <w:pStyle w:val="Amendement"/>
              <w:rPr>
                <w:rFonts w:ascii="Times New Roman" w:hAnsi="Times New Roman" w:cs="Times New Roman"/>
              </w:rPr>
            </w:pPr>
            <w:r w:rsidRPr="00CF282F">
              <w:rPr>
                <w:rFonts w:ascii="Times New Roman" w:hAnsi="Times New Roman" w:cs="Times New Roman"/>
              </w:rPr>
              <w:t xml:space="preserve">MEMORIE VAN TOELICHTING </w:t>
            </w:r>
          </w:p>
        </w:tc>
      </w:tr>
    </w:tbl>
    <w:p w:rsidR="005D44DE" w:rsidRPr="00CF282F" w:rsidRDefault="005D44DE" w:rsidP="005D44DE">
      <w:pPr>
        <w:pStyle w:val="Geenafstand"/>
        <w:rPr>
          <w:rFonts w:ascii="Times New Roman" w:hAnsi="Times New Roman" w:cs="Times New Roman"/>
          <w:b/>
          <w:bCs/>
          <w:i/>
          <w:sz w:val="24"/>
          <w:szCs w:val="24"/>
        </w:rPr>
      </w:pPr>
    </w:p>
    <w:p w:rsidR="005D44DE" w:rsidRPr="00CF282F" w:rsidRDefault="005D44DE" w:rsidP="005D44DE">
      <w:pPr>
        <w:pStyle w:val="Geenafstand"/>
        <w:rPr>
          <w:rFonts w:ascii="Times New Roman" w:hAnsi="Times New Roman" w:cs="Times New Roman"/>
          <w:b/>
          <w:bCs/>
          <w:sz w:val="24"/>
          <w:szCs w:val="24"/>
        </w:rPr>
      </w:pPr>
      <w:r w:rsidRPr="00CF282F">
        <w:rPr>
          <w:rFonts w:ascii="Times New Roman" w:hAnsi="Times New Roman" w:cs="Times New Roman"/>
          <w:b/>
          <w:bCs/>
          <w:sz w:val="24"/>
          <w:szCs w:val="24"/>
        </w:rPr>
        <w:t>I. ALGEMEEN</w:t>
      </w:r>
    </w:p>
    <w:p w:rsidR="005D44DE" w:rsidRPr="00CF282F" w:rsidRDefault="005D44DE" w:rsidP="005D44DE">
      <w:pPr>
        <w:pStyle w:val="Geenafstand"/>
        <w:rPr>
          <w:rFonts w:ascii="Times New Roman" w:hAnsi="Times New Roman" w:cs="Times New Roman"/>
          <w:bCs/>
          <w:sz w:val="24"/>
          <w:szCs w:val="24"/>
        </w:rPr>
      </w:pPr>
    </w:p>
    <w:p w:rsidR="005D44DE" w:rsidRPr="00CF282F" w:rsidRDefault="005D44DE" w:rsidP="005D44DE">
      <w:pPr>
        <w:rPr>
          <w:rFonts w:ascii="Times New Roman" w:hAnsi="Times New Roman"/>
          <w:i/>
          <w:sz w:val="24"/>
        </w:rPr>
      </w:pPr>
      <w:r w:rsidRPr="00CF282F">
        <w:rPr>
          <w:rFonts w:ascii="Times New Roman" w:hAnsi="Times New Roman"/>
          <w:i/>
          <w:sz w:val="24"/>
        </w:rPr>
        <w:t>1. Doelstelling</w:t>
      </w:r>
    </w:p>
    <w:p w:rsidR="005D44DE" w:rsidRPr="00CF282F" w:rsidRDefault="005D44DE" w:rsidP="005D44DE">
      <w:pPr>
        <w:rPr>
          <w:rFonts w:ascii="Times New Roman" w:hAnsi="Times New Roman"/>
          <w:sz w:val="24"/>
        </w:rPr>
      </w:pPr>
    </w:p>
    <w:p w:rsidR="00C04F46" w:rsidRDefault="00450C79" w:rsidP="00450C79">
      <w:pPr>
        <w:rPr>
          <w:rFonts w:ascii="Times New Roman" w:hAnsi="Times New Roman"/>
          <w:sz w:val="24"/>
        </w:rPr>
      </w:pPr>
      <w:r w:rsidRPr="00450C79">
        <w:rPr>
          <w:rFonts w:ascii="Times New Roman" w:hAnsi="Times New Roman"/>
          <w:sz w:val="24"/>
        </w:rPr>
        <w:t xml:space="preserve">Dit wetsvoorstel beoogt </w:t>
      </w:r>
      <w:r w:rsidR="006679E8">
        <w:rPr>
          <w:rFonts w:ascii="Times New Roman" w:hAnsi="Times New Roman"/>
          <w:sz w:val="24"/>
        </w:rPr>
        <w:t xml:space="preserve">deregulering van de </w:t>
      </w:r>
      <w:r w:rsidRPr="00450C79">
        <w:rPr>
          <w:rFonts w:ascii="Times New Roman" w:hAnsi="Times New Roman"/>
          <w:sz w:val="24"/>
        </w:rPr>
        <w:t>bepalingen aangaande majesteitsschennis en de belediging van bevriende staatshoofden</w:t>
      </w:r>
      <w:r w:rsidR="006679E8">
        <w:rPr>
          <w:rFonts w:ascii="Times New Roman" w:hAnsi="Times New Roman"/>
          <w:sz w:val="24"/>
        </w:rPr>
        <w:t>. Daaraan ligt de gedachte ten grondslag</w:t>
      </w:r>
      <w:r w:rsidR="00847059">
        <w:rPr>
          <w:rFonts w:ascii="Times New Roman" w:hAnsi="Times New Roman"/>
          <w:sz w:val="24"/>
        </w:rPr>
        <w:t>,</w:t>
      </w:r>
      <w:r w:rsidR="006679E8">
        <w:rPr>
          <w:rFonts w:ascii="Times New Roman" w:hAnsi="Times New Roman"/>
          <w:sz w:val="24"/>
        </w:rPr>
        <w:t xml:space="preserve"> dat </w:t>
      </w:r>
      <w:r w:rsidR="000F19F7">
        <w:rPr>
          <w:rFonts w:ascii="Times New Roman" w:hAnsi="Times New Roman"/>
          <w:sz w:val="24"/>
        </w:rPr>
        <w:t xml:space="preserve">aan </w:t>
      </w:r>
      <w:r w:rsidR="006679E8">
        <w:rPr>
          <w:rFonts w:ascii="Times New Roman" w:hAnsi="Times New Roman"/>
          <w:sz w:val="24"/>
        </w:rPr>
        <w:t xml:space="preserve">bijzondere bepalingen met betrekking tot </w:t>
      </w:r>
      <w:r w:rsidR="000F19F7">
        <w:rPr>
          <w:rFonts w:ascii="Times New Roman" w:hAnsi="Times New Roman"/>
          <w:sz w:val="24"/>
        </w:rPr>
        <w:t xml:space="preserve">belediging van </w:t>
      </w:r>
      <w:r w:rsidR="006679E8">
        <w:rPr>
          <w:rFonts w:ascii="Times New Roman" w:hAnsi="Times New Roman"/>
          <w:sz w:val="24"/>
        </w:rPr>
        <w:t xml:space="preserve">deze </w:t>
      </w:r>
      <w:r w:rsidR="00847059">
        <w:rPr>
          <w:rFonts w:ascii="Times New Roman" w:hAnsi="Times New Roman"/>
          <w:sz w:val="24"/>
        </w:rPr>
        <w:t>personen</w:t>
      </w:r>
      <w:r w:rsidR="006679E8">
        <w:rPr>
          <w:rFonts w:ascii="Times New Roman" w:hAnsi="Times New Roman"/>
          <w:sz w:val="24"/>
        </w:rPr>
        <w:t xml:space="preserve"> </w:t>
      </w:r>
      <w:r w:rsidR="00C71E97">
        <w:rPr>
          <w:rFonts w:ascii="Times New Roman" w:hAnsi="Times New Roman"/>
          <w:sz w:val="24"/>
        </w:rPr>
        <w:t xml:space="preserve">zwaarwegende bezwaren verbonden zijn </w:t>
      </w:r>
      <w:r w:rsidR="000F19F7">
        <w:rPr>
          <w:rFonts w:ascii="Times New Roman" w:hAnsi="Times New Roman"/>
          <w:sz w:val="24"/>
        </w:rPr>
        <w:t xml:space="preserve">vanuit </w:t>
      </w:r>
      <w:r w:rsidR="00847059">
        <w:rPr>
          <w:rFonts w:ascii="Times New Roman" w:hAnsi="Times New Roman"/>
          <w:sz w:val="24"/>
        </w:rPr>
        <w:t>het</w:t>
      </w:r>
      <w:r w:rsidR="000F19F7">
        <w:rPr>
          <w:rFonts w:ascii="Times New Roman" w:hAnsi="Times New Roman"/>
          <w:sz w:val="24"/>
        </w:rPr>
        <w:t xml:space="preserve"> oogpunt van het belang va</w:t>
      </w:r>
      <w:r w:rsidR="00C71E97">
        <w:rPr>
          <w:rFonts w:ascii="Times New Roman" w:hAnsi="Times New Roman"/>
          <w:sz w:val="24"/>
        </w:rPr>
        <w:t>n de vrijheid van meningsuiting</w:t>
      </w:r>
      <w:r w:rsidR="000F19F7">
        <w:rPr>
          <w:rFonts w:ascii="Times New Roman" w:hAnsi="Times New Roman"/>
          <w:sz w:val="24"/>
        </w:rPr>
        <w:t xml:space="preserve">. </w:t>
      </w:r>
      <w:r w:rsidR="006679E8">
        <w:rPr>
          <w:rFonts w:ascii="Times New Roman" w:hAnsi="Times New Roman"/>
          <w:sz w:val="24"/>
        </w:rPr>
        <w:t xml:space="preserve">De </w:t>
      </w:r>
      <w:r w:rsidR="006679E8" w:rsidRPr="006679E8">
        <w:rPr>
          <w:rFonts w:ascii="Times New Roman" w:hAnsi="Times New Roman"/>
          <w:sz w:val="24"/>
        </w:rPr>
        <w:t>bestaan</w:t>
      </w:r>
      <w:r w:rsidR="006679E8">
        <w:rPr>
          <w:rFonts w:ascii="Times New Roman" w:hAnsi="Times New Roman"/>
          <w:sz w:val="24"/>
        </w:rPr>
        <w:t>de</w:t>
      </w:r>
      <w:r w:rsidR="006679E8" w:rsidRPr="006679E8">
        <w:rPr>
          <w:rFonts w:ascii="Times New Roman" w:hAnsi="Times New Roman"/>
          <w:sz w:val="24"/>
        </w:rPr>
        <w:t xml:space="preserve"> commune beledigingsdelicten </w:t>
      </w:r>
      <w:r w:rsidR="006679E8" w:rsidRPr="00450C79">
        <w:rPr>
          <w:rFonts w:ascii="Times New Roman" w:hAnsi="Times New Roman"/>
          <w:sz w:val="24"/>
        </w:rPr>
        <w:t>in het Wetboek van Strafrecht (hierna</w:t>
      </w:r>
      <w:r w:rsidR="00A77A2C">
        <w:rPr>
          <w:rFonts w:ascii="Times New Roman" w:hAnsi="Times New Roman"/>
          <w:sz w:val="24"/>
        </w:rPr>
        <w:t xml:space="preserve"> ook</w:t>
      </w:r>
      <w:r w:rsidR="006679E8" w:rsidRPr="00450C79">
        <w:rPr>
          <w:rFonts w:ascii="Times New Roman" w:hAnsi="Times New Roman"/>
          <w:sz w:val="24"/>
        </w:rPr>
        <w:t>: Sr)</w:t>
      </w:r>
      <w:r w:rsidR="006679E8">
        <w:rPr>
          <w:rFonts w:ascii="Times New Roman" w:hAnsi="Times New Roman"/>
          <w:sz w:val="24"/>
        </w:rPr>
        <w:t xml:space="preserve">, </w:t>
      </w:r>
      <w:r w:rsidR="006679E8" w:rsidRPr="006679E8">
        <w:rPr>
          <w:rFonts w:ascii="Times New Roman" w:hAnsi="Times New Roman"/>
          <w:sz w:val="24"/>
        </w:rPr>
        <w:t xml:space="preserve">smaad </w:t>
      </w:r>
      <w:r w:rsidR="007D78CF">
        <w:rPr>
          <w:rFonts w:ascii="Times New Roman" w:hAnsi="Times New Roman"/>
          <w:sz w:val="24"/>
        </w:rPr>
        <w:t xml:space="preserve">en smaadschrift </w:t>
      </w:r>
      <w:r w:rsidR="006679E8" w:rsidRPr="006679E8">
        <w:rPr>
          <w:rFonts w:ascii="Times New Roman" w:hAnsi="Times New Roman"/>
          <w:sz w:val="24"/>
        </w:rPr>
        <w:t>(</w:t>
      </w:r>
      <w:r w:rsidR="007D78CF">
        <w:rPr>
          <w:rFonts w:ascii="Times New Roman" w:hAnsi="Times New Roman"/>
          <w:sz w:val="24"/>
        </w:rPr>
        <w:t xml:space="preserve">art. </w:t>
      </w:r>
      <w:r w:rsidR="006679E8" w:rsidRPr="006679E8">
        <w:rPr>
          <w:rFonts w:ascii="Times New Roman" w:hAnsi="Times New Roman"/>
          <w:sz w:val="24"/>
        </w:rPr>
        <w:t>261 Sr), laster (</w:t>
      </w:r>
      <w:r w:rsidR="007D78CF">
        <w:rPr>
          <w:rFonts w:ascii="Times New Roman" w:hAnsi="Times New Roman"/>
          <w:sz w:val="24"/>
        </w:rPr>
        <w:t xml:space="preserve">art. </w:t>
      </w:r>
      <w:r w:rsidR="006679E8" w:rsidRPr="006679E8">
        <w:rPr>
          <w:rFonts w:ascii="Times New Roman" w:hAnsi="Times New Roman"/>
          <w:sz w:val="24"/>
        </w:rPr>
        <w:t>262 Sr) en eenvoudige belediging (</w:t>
      </w:r>
      <w:r w:rsidR="007D78CF">
        <w:rPr>
          <w:rFonts w:ascii="Times New Roman" w:hAnsi="Times New Roman"/>
          <w:sz w:val="24"/>
        </w:rPr>
        <w:t xml:space="preserve">art. </w:t>
      </w:r>
      <w:r w:rsidR="006679E8" w:rsidRPr="006679E8">
        <w:rPr>
          <w:rFonts w:ascii="Times New Roman" w:hAnsi="Times New Roman"/>
          <w:sz w:val="24"/>
        </w:rPr>
        <w:t>266 Sr)</w:t>
      </w:r>
      <w:r w:rsidR="006679E8">
        <w:rPr>
          <w:rFonts w:ascii="Times New Roman" w:hAnsi="Times New Roman"/>
          <w:sz w:val="24"/>
        </w:rPr>
        <w:t xml:space="preserve"> volstaan. </w:t>
      </w:r>
      <w:r w:rsidR="009E082A">
        <w:rPr>
          <w:rFonts w:ascii="Times New Roman" w:hAnsi="Times New Roman"/>
          <w:sz w:val="24"/>
        </w:rPr>
        <w:t xml:space="preserve">Ook </w:t>
      </w:r>
      <w:r w:rsidR="00747233">
        <w:rPr>
          <w:rFonts w:ascii="Times New Roman" w:hAnsi="Times New Roman"/>
          <w:sz w:val="24"/>
        </w:rPr>
        <w:t xml:space="preserve">bijzondere bepalingen </w:t>
      </w:r>
      <w:r w:rsidR="009E082A">
        <w:rPr>
          <w:rFonts w:ascii="Times New Roman" w:hAnsi="Times New Roman"/>
          <w:sz w:val="24"/>
        </w:rPr>
        <w:t xml:space="preserve">voor belediging van openbare instellingen </w:t>
      </w:r>
      <w:r w:rsidR="00C04F46">
        <w:rPr>
          <w:rFonts w:ascii="Times New Roman" w:hAnsi="Times New Roman"/>
          <w:sz w:val="24"/>
        </w:rPr>
        <w:t xml:space="preserve">en bestuurders </w:t>
      </w:r>
      <w:r w:rsidR="00747233">
        <w:rPr>
          <w:rFonts w:ascii="Times New Roman" w:hAnsi="Times New Roman"/>
          <w:sz w:val="24"/>
        </w:rPr>
        <w:t>zijn</w:t>
      </w:r>
      <w:r w:rsidR="009E082A">
        <w:rPr>
          <w:rFonts w:ascii="Times New Roman" w:hAnsi="Times New Roman"/>
          <w:sz w:val="24"/>
        </w:rPr>
        <w:t xml:space="preserve"> niet nodig. </w:t>
      </w:r>
    </w:p>
    <w:p w:rsidR="006679E8" w:rsidRDefault="001D2407" w:rsidP="00450C79">
      <w:pPr>
        <w:rPr>
          <w:rFonts w:ascii="Times New Roman" w:hAnsi="Times New Roman"/>
          <w:sz w:val="24"/>
        </w:rPr>
      </w:pPr>
      <w:r>
        <w:rPr>
          <w:rFonts w:ascii="Times New Roman" w:hAnsi="Times New Roman"/>
          <w:sz w:val="24"/>
        </w:rPr>
        <w:t>De initiatiefnemer</w:t>
      </w:r>
      <w:r w:rsidR="006A59A2" w:rsidRPr="00450C79">
        <w:rPr>
          <w:rFonts w:ascii="Times New Roman" w:hAnsi="Times New Roman"/>
          <w:sz w:val="24"/>
        </w:rPr>
        <w:t xml:space="preserve"> </w:t>
      </w:r>
      <w:r w:rsidR="006A59A2">
        <w:rPr>
          <w:rFonts w:ascii="Times New Roman" w:hAnsi="Times New Roman"/>
          <w:sz w:val="24"/>
        </w:rPr>
        <w:t>beo</w:t>
      </w:r>
      <w:r>
        <w:rPr>
          <w:rFonts w:ascii="Times New Roman" w:hAnsi="Times New Roman"/>
          <w:sz w:val="24"/>
        </w:rPr>
        <w:t>ogt</w:t>
      </w:r>
      <w:r w:rsidR="006A59A2">
        <w:rPr>
          <w:rFonts w:ascii="Times New Roman" w:hAnsi="Times New Roman"/>
          <w:sz w:val="24"/>
        </w:rPr>
        <w:t xml:space="preserve"> </w:t>
      </w:r>
      <w:r w:rsidR="006A59A2" w:rsidRPr="00450C79">
        <w:rPr>
          <w:rFonts w:ascii="Times New Roman" w:hAnsi="Times New Roman"/>
          <w:sz w:val="24"/>
        </w:rPr>
        <w:t xml:space="preserve">dus </w:t>
      </w:r>
      <w:r w:rsidR="006A59A2">
        <w:rPr>
          <w:rFonts w:ascii="Times New Roman" w:hAnsi="Times New Roman"/>
          <w:sz w:val="24"/>
        </w:rPr>
        <w:t>n</w:t>
      </w:r>
      <w:r w:rsidR="007D78CF">
        <w:rPr>
          <w:rFonts w:ascii="Times New Roman" w:hAnsi="Times New Roman"/>
          <w:sz w:val="24"/>
        </w:rPr>
        <w:t>ì</w:t>
      </w:r>
      <w:r w:rsidR="006A59A2">
        <w:rPr>
          <w:rFonts w:ascii="Times New Roman" w:hAnsi="Times New Roman"/>
          <w:sz w:val="24"/>
        </w:rPr>
        <w:t xml:space="preserve">et om </w:t>
      </w:r>
      <w:r w:rsidR="006A59A2" w:rsidRPr="00450C79">
        <w:rPr>
          <w:rFonts w:ascii="Times New Roman" w:hAnsi="Times New Roman"/>
          <w:sz w:val="24"/>
        </w:rPr>
        <w:t>het beledigen van de Koning</w:t>
      </w:r>
      <w:r w:rsidR="00C04F46">
        <w:rPr>
          <w:rFonts w:ascii="Times New Roman" w:hAnsi="Times New Roman"/>
          <w:sz w:val="24"/>
        </w:rPr>
        <w:t xml:space="preserve">, </w:t>
      </w:r>
      <w:r w:rsidR="006A59A2">
        <w:rPr>
          <w:rFonts w:ascii="Times New Roman" w:hAnsi="Times New Roman"/>
          <w:sz w:val="24"/>
        </w:rPr>
        <w:t xml:space="preserve">bevriende staatshoofden </w:t>
      </w:r>
      <w:r w:rsidR="00C04F46">
        <w:rPr>
          <w:rFonts w:ascii="Times New Roman" w:hAnsi="Times New Roman"/>
          <w:sz w:val="24"/>
        </w:rPr>
        <w:t xml:space="preserve">en andere gezagsdragers </w:t>
      </w:r>
      <w:r w:rsidR="006A59A2" w:rsidRPr="00450C79">
        <w:rPr>
          <w:rFonts w:ascii="Times New Roman" w:hAnsi="Times New Roman"/>
          <w:sz w:val="24"/>
        </w:rPr>
        <w:t xml:space="preserve">straffeloos </w:t>
      </w:r>
      <w:r w:rsidR="006A59A2">
        <w:rPr>
          <w:rFonts w:ascii="Times New Roman" w:hAnsi="Times New Roman"/>
          <w:sz w:val="24"/>
        </w:rPr>
        <w:t xml:space="preserve">te </w:t>
      </w:r>
      <w:r w:rsidR="006A59A2" w:rsidRPr="00450C79">
        <w:rPr>
          <w:rFonts w:ascii="Times New Roman" w:hAnsi="Times New Roman"/>
          <w:sz w:val="24"/>
        </w:rPr>
        <w:t>maken.</w:t>
      </w:r>
      <w:r w:rsidR="006A59A2">
        <w:rPr>
          <w:rFonts w:ascii="Times New Roman" w:hAnsi="Times New Roman"/>
          <w:sz w:val="24"/>
        </w:rPr>
        <w:t xml:space="preserve"> Uitgangspunt is dat het strafrecht op dit punt nog steeds een functie kan hebben. Maar bijzondere delicten, onder meer met betrekking tot majesteitsschennis, zijn daarvoor niet nodig. </w:t>
      </w:r>
    </w:p>
    <w:p w:rsidR="006A59A2" w:rsidRDefault="006A59A2" w:rsidP="006A59A2">
      <w:pPr>
        <w:rPr>
          <w:rFonts w:ascii="Times New Roman" w:hAnsi="Times New Roman"/>
          <w:sz w:val="24"/>
        </w:rPr>
      </w:pPr>
    </w:p>
    <w:p w:rsidR="00450C79" w:rsidRDefault="006679E8" w:rsidP="006A59A2">
      <w:pPr>
        <w:rPr>
          <w:rFonts w:ascii="Times New Roman" w:hAnsi="Times New Roman"/>
          <w:sz w:val="24"/>
        </w:rPr>
      </w:pPr>
      <w:r>
        <w:rPr>
          <w:rFonts w:ascii="Times New Roman" w:hAnsi="Times New Roman"/>
          <w:sz w:val="24"/>
        </w:rPr>
        <w:t xml:space="preserve">Het betreft hier uitingsdelicten. </w:t>
      </w:r>
      <w:r w:rsidR="006A59A2">
        <w:rPr>
          <w:rFonts w:ascii="Times New Roman" w:hAnsi="Times New Roman"/>
          <w:sz w:val="24"/>
        </w:rPr>
        <w:t xml:space="preserve">Strafbaarstelling impliceert een beperking van de vrijheid van meningsuiting. Daarbij past </w:t>
      </w:r>
      <w:r w:rsidR="00A77A2C">
        <w:rPr>
          <w:rFonts w:ascii="Times New Roman" w:hAnsi="Times New Roman"/>
          <w:sz w:val="24"/>
        </w:rPr>
        <w:t xml:space="preserve">naar huidig inzicht </w:t>
      </w:r>
      <w:r w:rsidR="006A59A2">
        <w:rPr>
          <w:rFonts w:ascii="Times New Roman" w:hAnsi="Times New Roman"/>
          <w:sz w:val="24"/>
        </w:rPr>
        <w:t xml:space="preserve">terughoudendheid. </w:t>
      </w:r>
      <w:r w:rsidR="00803525">
        <w:rPr>
          <w:rFonts w:ascii="Times New Roman" w:hAnsi="Times New Roman"/>
          <w:sz w:val="24"/>
        </w:rPr>
        <w:t>D</w:t>
      </w:r>
      <w:r w:rsidR="00A77A2C">
        <w:rPr>
          <w:rFonts w:ascii="Times New Roman" w:hAnsi="Times New Roman"/>
          <w:sz w:val="24"/>
        </w:rPr>
        <w:t xml:space="preserve">aarover is </w:t>
      </w:r>
      <w:r w:rsidR="00803525">
        <w:rPr>
          <w:rFonts w:ascii="Times New Roman" w:hAnsi="Times New Roman"/>
          <w:sz w:val="24"/>
        </w:rPr>
        <w:t xml:space="preserve">echter </w:t>
      </w:r>
      <w:r w:rsidR="00A77A2C">
        <w:rPr>
          <w:rFonts w:ascii="Times New Roman" w:hAnsi="Times New Roman"/>
          <w:sz w:val="24"/>
        </w:rPr>
        <w:t xml:space="preserve">niet altijd hetzelfde gedacht. </w:t>
      </w:r>
      <w:r w:rsidR="004B3BDC">
        <w:rPr>
          <w:rFonts w:ascii="Times New Roman" w:hAnsi="Times New Roman"/>
          <w:sz w:val="24"/>
        </w:rPr>
        <w:t xml:space="preserve">Majesteitsschennis is strafbaar sedert </w:t>
      </w:r>
      <w:r w:rsidR="00AD61FB">
        <w:rPr>
          <w:rFonts w:ascii="Times New Roman" w:hAnsi="Times New Roman"/>
          <w:sz w:val="24"/>
        </w:rPr>
        <w:t xml:space="preserve">1830. </w:t>
      </w:r>
      <w:r w:rsidR="004B3BDC">
        <w:rPr>
          <w:rFonts w:ascii="Times New Roman" w:hAnsi="Times New Roman"/>
          <w:sz w:val="24"/>
        </w:rPr>
        <w:t xml:space="preserve">In </w:t>
      </w:r>
      <w:r w:rsidR="004B3BDC" w:rsidRPr="00450C79">
        <w:rPr>
          <w:rFonts w:ascii="Times New Roman" w:hAnsi="Times New Roman"/>
          <w:sz w:val="24"/>
        </w:rPr>
        <w:t>1886</w:t>
      </w:r>
      <w:r w:rsidR="004B3BDC">
        <w:rPr>
          <w:rFonts w:ascii="Times New Roman" w:hAnsi="Times New Roman"/>
          <w:sz w:val="24"/>
        </w:rPr>
        <w:t xml:space="preserve">, bij de totstandkoming van het </w:t>
      </w:r>
      <w:r w:rsidR="004B3BDC" w:rsidRPr="00450C79">
        <w:rPr>
          <w:rFonts w:ascii="Times New Roman" w:hAnsi="Times New Roman"/>
          <w:sz w:val="24"/>
        </w:rPr>
        <w:t>Wetboek van Strafrecht</w:t>
      </w:r>
      <w:r w:rsidR="003208E7">
        <w:rPr>
          <w:rFonts w:ascii="Times New Roman" w:hAnsi="Times New Roman"/>
          <w:sz w:val="24"/>
        </w:rPr>
        <w:t>,</w:t>
      </w:r>
      <w:r w:rsidR="004B3BDC">
        <w:rPr>
          <w:rFonts w:ascii="Times New Roman" w:hAnsi="Times New Roman"/>
          <w:sz w:val="24"/>
        </w:rPr>
        <w:t xml:space="preserve"> zijn daarin straf</w:t>
      </w:r>
      <w:r w:rsidR="00A77A2C">
        <w:rPr>
          <w:rFonts w:ascii="Times New Roman" w:hAnsi="Times New Roman"/>
          <w:sz w:val="24"/>
        </w:rPr>
        <w:t xml:space="preserve">bepalingen </w:t>
      </w:r>
      <w:r w:rsidR="003208E7">
        <w:rPr>
          <w:rFonts w:ascii="Times New Roman" w:hAnsi="Times New Roman"/>
          <w:sz w:val="24"/>
        </w:rPr>
        <w:t xml:space="preserve">opgenomen </w:t>
      </w:r>
      <w:r w:rsidR="004B3BDC">
        <w:rPr>
          <w:rFonts w:ascii="Times New Roman" w:hAnsi="Times New Roman"/>
          <w:sz w:val="24"/>
        </w:rPr>
        <w:t xml:space="preserve">inzake </w:t>
      </w:r>
      <w:r w:rsidR="00A77A2C">
        <w:rPr>
          <w:rFonts w:ascii="Times New Roman" w:hAnsi="Times New Roman"/>
          <w:sz w:val="24"/>
        </w:rPr>
        <w:t xml:space="preserve">het </w:t>
      </w:r>
      <w:r w:rsidR="00A77A2C" w:rsidRPr="00450C79">
        <w:rPr>
          <w:rFonts w:ascii="Times New Roman" w:hAnsi="Times New Roman"/>
          <w:sz w:val="24"/>
        </w:rPr>
        <w:t xml:space="preserve">beledigen van de Koning, de echtgenoot van de Koning, de vermoedelijke opvolger van de Koning of van diens echtgenoot </w:t>
      </w:r>
      <w:r w:rsidR="004B3BDC">
        <w:rPr>
          <w:rFonts w:ascii="Times New Roman" w:hAnsi="Times New Roman"/>
          <w:sz w:val="24"/>
        </w:rPr>
        <w:t xml:space="preserve">(art. </w:t>
      </w:r>
      <w:r w:rsidR="004B3BDC" w:rsidRPr="00450C79">
        <w:rPr>
          <w:rFonts w:ascii="Times New Roman" w:hAnsi="Times New Roman"/>
          <w:sz w:val="24"/>
        </w:rPr>
        <w:t>111</w:t>
      </w:r>
      <w:r w:rsidR="004B3BDC">
        <w:rPr>
          <w:rFonts w:ascii="Times New Roman" w:hAnsi="Times New Roman"/>
          <w:sz w:val="24"/>
        </w:rPr>
        <w:t>-</w:t>
      </w:r>
      <w:r w:rsidR="004B3BDC" w:rsidRPr="00450C79">
        <w:rPr>
          <w:rFonts w:ascii="Times New Roman" w:hAnsi="Times New Roman"/>
          <w:sz w:val="24"/>
        </w:rPr>
        <w:t xml:space="preserve">113 </w:t>
      </w:r>
      <w:r w:rsidR="004B3BDC">
        <w:rPr>
          <w:rFonts w:ascii="Times New Roman" w:hAnsi="Times New Roman"/>
          <w:sz w:val="24"/>
        </w:rPr>
        <w:t xml:space="preserve">Sr). </w:t>
      </w:r>
      <w:r w:rsidR="003208E7">
        <w:rPr>
          <w:rFonts w:ascii="Times New Roman" w:hAnsi="Times New Roman"/>
          <w:sz w:val="24"/>
        </w:rPr>
        <w:t xml:space="preserve">Sedert </w:t>
      </w:r>
      <w:r w:rsidR="004B3BDC">
        <w:rPr>
          <w:rFonts w:ascii="Times New Roman" w:hAnsi="Times New Roman"/>
          <w:sz w:val="24"/>
        </w:rPr>
        <w:t xml:space="preserve">1830 </w:t>
      </w:r>
      <w:r w:rsidR="003208E7">
        <w:rPr>
          <w:rFonts w:ascii="Times New Roman" w:hAnsi="Times New Roman"/>
          <w:sz w:val="24"/>
        </w:rPr>
        <w:t xml:space="preserve">zijn </w:t>
      </w:r>
      <w:r w:rsidR="004B3BDC">
        <w:rPr>
          <w:rFonts w:ascii="Times New Roman" w:hAnsi="Times New Roman"/>
          <w:sz w:val="24"/>
        </w:rPr>
        <w:t xml:space="preserve">nu </w:t>
      </w:r>
      <w:r w:rsidR="00A77A2C">
        <w:rPr>
          <w:rFonts w:ascii="Times New Roman" w:hAnsi="Times New Roman"/>
          <w:sz w:val="24"/>
        </w:rPr>
        <w:t>1</w:t>
      </w:r>
      <w:r w:rsidR="004B3BDC">
        <w:rPr>
          <w:rFonts w:ascii="Times New Roman" w:hAnsi="Times New Roman"/>
          <w:sz w:val="24"/>
        </w:rPr>
        <w:t>85</w:t>
      </w:r>
      <w:r w:rsidR="00A77A2C">
        <w:rPr>
          <w:rFonts w:ascii="Times New Roman" w:hAnsi="Times New Roman"/>
          <w:sz w:val="24"/>
        </w:rPr>
        <w:t xml:space="preserve"> ja</w:t>
      </w:r>
      <w:r w:rsidR="003208E7">
        <w:rPr>
          <w:rFonts w:ascii="Times New Roman" w:hAnsi="Times New Roman"/>
          <w:sz w:val="24"/>
        </w:rPr>
        <w:t>ren verstreken</w:t>
      </w:r>
      <w:r w:rsidR="00A77A2C">
        <w:rPr>
          <w:rFonts w:ascii="Times New Roman" w:hAnsi="Times New Roman"/>
          <w:sz w:val="24"/>
        </w:rPr>
        <w:t xml:space="preserve">. Dat is </w:t>
      </w:r>
      <w:r w:rsidR="000F19F7">
        <w:rPr>
          <w:rFonts w:ascii="Times New Roman" w:hAnsi="Times New Roman"/>
          <w:sz w:val="24"/>
        </w:rPr>
        <w:t>een goede</w:t>
      </w:r>
      <w:r w:rsidR="00A77A2C">
        <w:rPr>
          <w:rFonts w:ascii="Times New Roman" w:hAnsi="Times New Roman"/>
          <w:sz w:val="24"/>
        </w:rPr>
        <w:t xml:space="preserve"> reden om te bezien welke rechtsontwikkelingen zich sindsdien hebben voorgedaan.</w:t>
      </w:r>
      <w:r w:rsidR="005B6D40">
        <w:rPr>
          <w:rFonts w:ascii="Times New Roman" w:hAnsi="Times New Roman"/>
          <w:sz w:val="24"/>
        </w:rPr>
        <w:t xml:space="preserve"> </w:t>
      </w:r>
      <w:r w:rsidR="005B6D40" w:rsidRPr="005B6D40">
        <w:rPr>
          <w:rFonts w:ascii="Times New Roman" w:hAnsi="Times New Roman"/>
          <w:sz w:val="24"/>
        </w:rPr>
        <w:t>Met dit wetsvoorstel beo</w:t>
      </w:r>
      <w:r w:rsidR="001D2407">
        <w:rPr>
          <w:rFonts w:ascii="Times New Roman" w:hAnsi="Times New Roman"/>
          <w:sz w:val="24"/>
        </w:rPr>
        <w:t>ogt</w:t>
      </w:r>
      <w:r w:rsidR="005B6D40" w:rsidRPr="005B6D40">
        <w:rPr>
          <w:rFonts w:ascii="Times New Roman" w:hAnsi="Times New Roman"/>
          <w:sz w:val="24"/>
        </w:rPr>
        <w:t xml:space="preserve"> de initiatiefnemer de wet</w:t>
      </w:r>
      <w:r w:rsidR="005B6D40">
        <w:rPr>
          <w:rFonts w:ascii="Times New Roman" w:hAnsi="Times New Roman"/>
          <w:sz w:val="24"/>
        </w:rPr>
        <w:t xml:space="preserve"> in lijn te brengen met d</w:t>
      </w:r>
      <w:r w:rsidR="005B6D40" w:rsidRPr="005B6D40">
        <w:rPr>
          <w:rFonts w:ascii="Times New Roman" w:hAnsi="Times New Roman"/>
          <w:sz w:val="24"/>
        </w:rPr>
        <w:t xml:space="preserve">ie </w:t>
      </w:r>
      <w:r w:rsidR="005B6D40">
        <w:rPr>
          <w:rFonts w:ascii="Times New Roman" w:hAnsi="Times New Roman"/>
          <w:sz w:val="24"/>
        </w:rPr>
        <w:t>rechts</w:t>
      </w:r>
      <w:r w:rsidR="005B6D40" w:rsidRPr="005B6D40">
        <w:rPr>
          <w:rFonts w:ascii="Times New Roman" w:hAnsi="Times New Roman"/>
          <w:sz w:val="24"/>
        </w:rPr>
        <w:t>ontwikkeling</w:t>
      </w:r>
      <w:r w:rsidR="005B6D40">
        <w:rPr>
          <w:rFonts w:ascii="Times New Roman" w:hAnsi="Times New Roman"/>
          <w:sz w:val="24"/>
        </w:rPr>
        <w:t>en</w:t>
      </w:r>
      <w:r w:rsidR="005B6D40" w:rsidRPr="005B6D40">
        <w:rPr>
          <w:rFonts w:ascii="Times New Roman" w:hAnsi="Times New Roman"/>
          <w:sz w:val="24"/>
        </w:rPr>
        <w:t>.</w:t>
      </w:r>
    </w:p>
    <w:p w:rsidR="008A0162" w:rsidRPr="00CF282F" w:rsidRDefault="008A0162" w:rsidP="005D44DE">
      <w:pPr>
        <w:rPr>
          <w:rFonts w:ascii="Times New Roman" w:hAnsi="Times New Roman"/>
          <w:sz w:val="24"/>
        </w:rPr>
      </w:pPr>
    </w:p>
    <w:p w:rsidR="008A0162" w:rsidRPr="00CF282F" w:rsidRDefault="008A0162" w:rsidP="005D44DE">
      <w:pPr>
        <w:rPr>
          <w:rFonts w:ascii="Times New Roman" w:hAnsi="Times New Roman"/>
          <w:i/>
          <w:sz w:val="24"/>
        </w:rPr>
      </w:pPr>
      <w:r w:rsidRPr="00CF282F">
        <w:rPr>
          <w:rFonts w:ascii="Times New Roman" w:hAnsi="Times New Roman"/>
          <w:i/>
          <w:sz w:val="24"/>
        </w:rPr>
        <w:t>2. Rechtsontwikkelingen</w:t>
      </w:r>
    </w:p>
    <w:p w:rsidR="008A0162" w:rsidRPr="00CF282F" w:rsidRDefault="008A0162" w:rsidP="005D44DE">
      <w:pPr>
        <w:rPr>
          <w:rFonts w:ascii="Times New Roman" w:hAnsi="Times New Roman"/>
          <w:sz w:val="24"/>
        </w:rPr>
      </w:pPr>
    </w:p>
    <w:p w:rsidR="004A1E4C" w:rsidRPr="00CF282F" w:rsidRDefault="004A1E4C" w:rsidP="005D44DE">
      <w:pPr>
        <w:rPr>
          <w:rFonts w:ascii="Times New Roman" w:hAnsi="Times New Roman"/>
          <w:i/>
          <w:sz w:val="24"/>
        </w:rPr>
      </w:pPr>
      <w:r w:rsidRPr="00CF282F">
        <w:rPr>
          <w:rFonts w:ascii="Times New Roman" w:hAnsi="Times New Roman"/>
          <w:i/>
          <w:sz w:val="24"/>
        </w:rPr>
        <w:t>2.1</w:t>
      </w:r>
      <w:r w:rsidR="00C817D5">
        <w:rPr>
          <w:rFonts w:ascii="Times New Roman" w:hAnsi="Times New Roman"/>
          <w:i/>
          <w:sz w:val="24"/>
        </w:rPr>
        <w:t>.</w:t>
      </w:r>
      <w:r w:rsidRPr="00CF282F">
        <w:rPr>
          <w:rFonts w:ascii="Times New Roman" w:hAnsi="Times New Roman"/>
          <w:i/>
          <w:sz w:val="24"/>
        </w:rPr>
        <w:t xml:space="preserve"> Nationaal</w:t>
      </w:r>
    </w:p>
    <w:p w:rsidR="00A77A2C" w:rsidRDefault="00A77A2C" w:rsidP="00A77A2C">
      <w:pPr>
        <w:rPr>
          <w:rFonts w:ascii="Times New Roman" w:hAnsi="Times New Roman"/>
          <w:sz w:val="24"/>
        </w:rPr>
      </w:pPr>
    </w:p>
    <w:p w:rsidR="00473B66" w:rsidRDefault="00A77A2C" w:rsidP="00473B66">
      <w:pPr>
        <w:rPr>
          <w:rFonts w:ascii="Times New Roman" w:hAnsi="Times New Roman"/>
          <w:sz w:val="24"/>
        </w:rPr>
      </w:pPr>
      <w:r>
        <w:rPr>
          <w:rFonts w:ascii="Times New Roman" w:hAnsi="Times New Roman"/>
          <w:sz w:val="24"/>
        </w:rPr>
        <w:t>De in 1886 voor de opbouw van het Wetboek van Strafrecht gekozen systematiek is illu</w:t>
      </w:r>
      <w:r w:rsidR="00473B66">
        <w:rPr>
          <w:rFonts w:ascii="Times New Roman" w:hAnsi="Times New Roman"/>
          <w:sz w:val="24"/>
        </w:rPr>
        <w:t>stratief voor de visie op het koningschap in die dagen. Het boek met betrekking tot  misdrijven v</w:t>
      </w:r>
      <w:r w:rsidR="002B1956">
        <w:rPr>
          <w:rFonts w:ascii="Times New Roman" w:hAnsi="Times New Roman"/>
          <w:sz w:val="24"/>
        </w:rPr>
        <w:t>angt aan met een titel over misd</w:t>
      </w:r>
      <w:r w:rsidR="00473B66">
        <w:rPr>
          <w:rFonts w:ascii="Times New Roman" w:hAnsi="Times New Roman"/>
          <w:sz w:val="24"/>
        </w:rPr>
        <w:t xml:space="preserve">rijven tegen de veiligheid van de staat. Het </w:t>
      </w:r>
      <w:r w:rsidR="003208E7">
        <w:rPr>
          <w:rFonts w:ascii="Times New Roman" w:hAnsi="Times New Roman"/>
          <w:sz w:val="24"/>
        </w:rPr>
        <w:t>allereer</w:t>
      </w:r>
      <w:r w:rsidR="00473B66">
        <w:rPr>
          <w:rFonts w:ascii="Times New Roman" w:hAnsi="Times New Roman"/>
          <w:sz w:val="24"/>
        </w:rPr>
        <w:t xml:space="preserve">ste artikel daarvan ziet op een </w:t>
      </w:r>
      <w:r w:rsidR="00473B66" w:rsidRPr="00473B66">
        <w:rPr>
          <w:rFonts w:ascii="Times New Roman" w:hAnsi="Times New Roman"/>
          <w:sz w:val="24"/>
        </w:rPr>
        <w:t>aanslag met het oogmerk om de Koning van het leven of de vrijheid te beroven of tot regeren ongeschikt te maken</w:t>
      </w:r>
      <w:r w:rsidR="00473B66">
        <w:rPr>
          <w:rFonts w:ascii="Times New Roman" w:hAnsi="Times New Roman"/>
          <w:sz w:val="24"/>
        </w:rPr>
        <w:t xml:space="preserve">. Het </w:t>
      </w:r>
      <w:r w:rsidR="00473B66" w:rsidRPr="00473B66">
        <w:rPr>
          <w:rFonts w:ascii="Times New Roman" w:hAnsi="Times New Roman"/>
          <w:sz w:val="24"/>
        </w:rPr>
        <w:t xml:space="preserve">door geweld een vergadering van de </w:t>
      </w:r>
      <w:r w:rsidR="00473B66">
        <w:rPr>
          <w:rFonts w:ascii="Times New Roman" w:hAnsi="Times New Roman"/>
          <w:sz w:val="24"/>
        </w:rPr>
        <w:t xml:space="preserve">ministerraad </w:t>
      </w:r>
      <w:r w:rsidR="00473B66" w:rsidRPr="00473B66">
        <w:rPr>
          <w:rFonts w:ascii="Times New Roman" w:hAnsi="Times New Roman"/>
          <w:sz w:val="24"/>
        </w:rPr>
        <w:t>uiteenja</w:t>
      </w:r>
      <w:r w:rsidR="00473B66">
        <w:rPr>
          <w:rFonts w:ascii="Times New Roman" w:hAnsi="Times New Roman"/>
          <w:sz w:val="24"/>
        </w:rPr>
        <w:t xml:space="preserve">gen of dwingen </w:t>
      </w:r>
      <w:r w:rsidR="00473B66" w:rsidRPr="00473B66">
        <w:rPr>
          <w:rFonts w:ascii="Times New Roman" w:hAnsi="Times New Roman"/>
          <w:sz w:val="24"/>
        </w:rPr>
        <w:t>tot het nemen van e</w:t>
      </w:r>
      <w:r w:rsidR="007D78CF">
        <w:rPr>
          <w:rFonts w:ascii="Times New Roman" w:hAnsi="Times New Roman"/>
          <w:sz w:val="24"/>
        </w:rPr>
        <w:t>en</w:t>
      </w:r>
      <w:r w:rsidR="00473B66" w:rsidRPr="00473B66">
        <w:rPr>
          <w:rFonts w:ascii="Times New Roman" w:hAnsi="Times New Roman"/>
          <w:sz w:val="24"/>
        </w:rPr>
        <w:t xml:space="preserve"> besluit </w:t>
      </w:r>
      <w:r w:rsidR="00473B66">
        <w:rPr>
          <w:rFonts w:ascii="Times New Roman" w:hAnsi="Times New Roman"/>
          <w:sz w:val="24"/>
        </w:rPr>
        <w:t>volgt pas verderop. De tweede titel gaat over m</w:t>
      </w:r>
      <w:r w:rsidR="00473B66" w:rsidRPr="00473B66">
        <w:rPr>
          <w:rFonts w:ascii="Times New Roman" w:hAnsi="Times New Roman"/>
          <w:sz w:val="24"/>
        </w:rPr>
        <w:t>isdrijven tegen de koninklijke waardigheid</w:t>
      </w:r>
      <w:r w:rsidR="007D78CF">
        <w:rPr>
          <w:rFonts w:ascii="Times New Roman" w:hAnsi="Times New Roman"/>
          <w:sz w:val="24"/>
        </w:rPr>
        <w:t xml:space="preserve"> en </w:t>
      </w:r>
      <w:r w:rsidR="00D70D42">
        <w:rPr>
          <w:rFonts w:ascii="Times New Roman" w:hAnsi="Times New Roman"/>
          <w:sz w:val="24"/>
        </w:rPr>
        <w:t>d</w:t>
      </w:r>
      <w:r w:rsidR="00473B66">
        <w:rPr>
          <w:rFonts w:ascii="Times New Roman" w:hAnsi="Times New Roman"/>
          <w:sz w:val="24"/>
        </w:rPr>
        <w:t xml:space="preserve">e derde over </w:t>
      </w:r>
      <w:r w:rsidR="00D70D42">
        <w:rPr>
          <w:rFonts w:ascii="Times New Roman" w:hAnsi="Times New Roman"/>
          <w:sz w:val="24"/>
        </w:rPr>
        <w:t>m</w:t>
      </w:r>
      <w:r w:rsidR="00473B66" w:rsidRPr="00473B66">
        <w:rPr>
          <w:rFonts w:ascii="Times New Roman" w:hAnsi="Times New Roman"/>
          <w:sz w:val="24"/>
        </w:rPr>
        <w:t>isdrijven tegen hoofden van bevriende Staten</w:t>
      </w:r>
      <w:r w:rsidR="007D78CF">
        <w:rPr>
          <w:rFonts w:ascii="Times New Roman" w:hAnsi="Times New Roman"/>
          <w:sz w:val="24"/>
        </w:rPr>
        <w:t xml:space="preserve">, waarvan een aantal bepalingen in dit </w:t>
      </w:r>
      <w:r w:rsidR="007D78CF">
        <w:rPr>
          <w:rFonts w:ascii="Times New Roman" w:hAnsi="Times New Roman"/>
          <w:sz w:val="24"/>
        </w:rPr>
        <w:lastRenderedPageBreak/>
        <w:t>wetsvoorstel aan de orde zijn</w:t>
      </w:r>
      <w:r w:rsidR="00D70D42">
        <w:rPr>
          <w:rFonts w:ascii="Times New Roman" w:hAnsi="Times New Roman"/>
          <w:sz w:val="24"/>
        </w:rPr>
        <w:t xml:space="preserve">. </w:t>
      </w:r>
      <w:r w:rsidR="00B359AA" w:rsidRPr="00B359AA">
        <w:rPr>
          <w:rFonts w:ascii="Times New Roman" w:hAnsi="Times New Roman"/>
          <w:sz w:val="24"/>
        </w:rPr>
        <w:t xml:space="preserve">Het door geweld een vergadering van </w:t>
      </w:r>
      <w:r w:rsidR="00B359AA">
        <w:rPr>
          <w:rFonts w:ascii="Times New Roman" w:hAnsi="Times New Roman"/>
          <w:sz w:val="24"/>
        </w:rPr>
        <w:t>e</w:t>
      </w:r>
      <w:r w:rsidR="007D78CF">
        <w:rPr>
          <w:rFonts w:ascii="Times New Roman" w:hAnsi="Times New Roman"/>
          <w:sz w:val="24"/>
        </w:rPr>
        <w:t>e</w:t>
      </w:r>
      <w:r w:rsidR="00B359AA">
        <w:rPr>
          <w:rFonts w:ascii="Times New Roman" w:hAnsi="Times New Roman"/>
          <w:sz w:val="24"/>
        </w:rPr>
        <w:t xml:space="preserve">n Kamer van de Staten-Generaal </w:t>
      </w:r>
      <w:r w:rsidR="00B359AA" w:rsidRPr="00B359AA">
        <w:rPr>
          <w:rFonts w:ascii="Times New Roman" w:hAnsi="Times New Roman"/>
          <w:sz w:val="24"/>
        </w:rPr>
        <w:t>uiteenjagen of dwingen tot het nemen van e</w:t>
      </w:r>
      <w:r w:rsidR="007D78CF">
        <w:rPr>
          <w:rFonts w:ascii="Times New Roman" w:hAnsi="Times New Roman"/>
          <w:sz w:val="24"/>
        </w:rPr>
        <w:t>e</w:t>
      </w:r>
      <w:r w:rsidR="00B359AA" w:rsidRPr="00B359AA">
        <w:rPr>
          <w:rFonts w:ascii="Times New Roman" w:hAnsi="Times New Roman"/>
          <w:sz w:val="24"/>
        </w:rPr>
        <w:t>n</w:t>
      </w:r>
      <w:r w:rsidR="007D78CF">
        <w:rPr>
          <w:rFonts w:ascii="Times New Roman" w:hAnsi="Times New Roman"/>
          <w:sz w:val="24"/>
        </w:rPr>
        <w:t xml:space="preserve"> </w:t>
      </w:r>
      <w:r w:rsidR="00B359AA" w:rsidRPr="00B359AA">
        <w:rPr>
          <w:rFonts w:ascii="Times New Roman" w:hAnsi="Times New Roman"/>
          <w:sz w:val="24"/>
        </w:rPr>
        <w:t>besluit</w:t>
      </w:r>
      <w:r w:rsidR="00B359AA">
        <w:rPr>
          <w:rFonts w:ascii="Times New Roman" w:hAnsi="Times New Roman"/>
          <w:sz w:val="24"/>
        </w:rPr>
        <w:t xml:space="preserve"> volgt </w:t>
      </w:r>
      <w:r w:rsidR="007D78CF">
        <w:rPr>
          <w:rFonts w:ascii="Times New Roman" w:hAnsi="Times New Roman"/>
          <w:sz w:val="24"/>
        </w:rPr>
        <w:t xml:space="preserve">pas </w:t>
      </w:r>
      <w:r w:rsidR="00B359AA">
        <w:rPr>
          <w:rFonts w:ascii="Times New Roman" w:hAnsi="Times New Roman"/>
          <w:sz w:val="24"/>
        </w:rPr>
        <w:t xml:space="preserve">in </w:t>
      </w:r>
      <w:r w:rsidR="007D78CF">
        <w:rPr>
          <w:rFonts w:ascii="Times New Roman" w:hAnsi="Times New Roman"/>
          <w:sz w:val="24"/>
        </w:rPr>
        <w:t xml:space="preserve">de vierde </w:t>
      </w:r>
      <w:r w:rsidR="00B359AA">
        <w:rPr>
          <w:rFonts w:ascii="Times New Roman" w:hAnsi="Times New Roman"/>
          <w:sz w:val="24"/>
        </w:rPr>
        <w:t xml:space="preserve">titel. </w:t>
      </w:r>
      <w:r w:rsidR="008D7FF8">
        <w:rPr>
          <w:rFonts w:ascii="Times New Roman" w:hAnsi="Times New Roman"/>
          <w:sz w:val="24"/>
        </w:rPr>
        <w:t>Kortom:</w:t>
      </w:r>
      <w:r w:rsidR="00B359AA">
        <w:rPr>
          <w:rFonts w:ascii="Times New Roman" w:hAnsi="Times New Roman"/>
          <w:sz w:val="24"/>
        </w:rPr>
        <w:t xml:space="preserve"> de Staat, dat is in de </w:t>
      </w:r>
      <w:r w:rsidR="00557167">
        <w:rPr>
          <w:rFonts w:ascii="Times New Roman" w:hAnsi="Times New Roman"/>
          <w:sz w:val="24"/>
        </w:rPr>
        <w:t>éé</w:t>
      </w:r>
      <w:r w:rsidR="00B359AA">
        <w:rPr>
          <w:rFonts w:ascii="Times New Roman" w:hAnsi="Times New Roman"/>
          <w:sz w:val="24"/>
        </w:rPr>
        <w:t>rste plaats de Koning.</w:t>
      </w:r>
      <w:r w:rsidR="00311FCB">
        <w:rPr>
          <w:rStyle w:val="Voetnootmarkering"/>
          <w:rFonts w:ascii="Times New Roman" w:hAnsi="Times New Roman"/>
          <w:sz w:val="24"/>
        </w:rPr>
        <w:footnoteReference w:id="1"/>
      </w:r>
      <w:r w:rsidR="00B359AA">
        <w:rPr>
          <w:rFonts w:ascii="Times New Roman" w:hAnsi="Times New Roman"/>
          <w:sz w:val="24"/>
        </w:rPr>
        <w:t xml:space="preserve"> </w:t>
      </w:r>
    </w:p>
    <w:p w:rsidR="00D70D42" w:rsidRDefault="00D70D42" w:rsidP="00473B66">
      <w:pPr>
        <w:rPr>
          <w:rFonts w:ascii="Times New Roman" w:hAnsi="Times New Roman"/>
          <w:sz w:val="24"/>
        </w:rPr>
      </w:pPr>
    </w:p>
    <w:p w:rsidR="00557167" w:rsidRDefault="00D70D42" w:rsidP="00473B66">
      <w:pPr>
        <w:rPr>
          <w:rFonts w:ascii="Times New Roman" w:hAnsi="Times New Roman"/>
          <w:sz w:val="24"/>
        </w:rPr>
      </w:pPr>
      <w:r>
        <w:rPr>
          <w:rFonts w:ascii="Times New Roman" w:hAnsi="Times New Roman"/>
          <w:sz w:val="24"/>
        </w:rPr>
        <w:t xml:space="preserve">In de negentiende eeuw </w:t>
      </w:r>
      <w:r w:rsidR="00BA3AB8">
        <w:rPr>
          <w:rFonts w:ascii="Times New Roman" w:hAnsi="Times New Roman"/>
          <w:sz w:val="24"/>
        </w:rPr>
        <w:t xml:space="preserve">kwamen uitingen die door de rechter gekwalificeerd werden als majesteitsschennis niet zelden voort uit sociale </w:t>
      </w:r>
      <w:r w:rsidR="00803525">
        <w:rPr>
          <w:rFonts w:ascii="Times New Roman" w:hAnsi="Times New Roman"/>
          <w:sz w:val="24"/>
        </w:rPr>
        <w:t xml:space="preserve">en politieke </w:t>
      </w:r>
      <w:r w:rsidR="00BA3AB8">
        <w:rPr>
          <w:rFonts w:ascii="Times New Roman" w:hAnsi="Times New Roman"/>
          <w:sz w:val="24"/>
        </w:rPr>
        <w:t xml:space="preserve">strijd. Het </w:t>
      </w:r>
      <w:r w:rsidR="002B1956">
        <w:rPr>
          <w:rFonts w:ascii="Times New Roman" w:hAnsi="Times New Roman"/>
          <w:sz w:val="24"/>
        </w:rPr>
        <w:t>opkomend</w:t>
      </w:r>
      <w:r w:rsidR="00177012">
        <w:rPr>
          <w:rFonts w:ascii="Times New Roman" w:hAnsi="Times New Roman"/>
          <w:sz w:val="24"/>
        </w:rPr>
        <w:t>e</w:t>
      </w:r>
      <w:r w:rsidR="002B1956">
        <w:rPr>
          <w:rFonts w:ascii="Times New Roman" w:hAnsi="Times New Roman"/>
          <w:sz w:val="24"/>
        </w:rPr>
        <w:t xml:space="preserve"> </w:t>
      </w:r>
      <w:r w:rsidR="00BA3AB8">
        <w:rPr>
          <w:rFonts w:ascii="Times New Roman" w:hAnsi="Times New Roman"/>
          <w:sz w:val="24"/>
        </w:rPr>
        <w:t xml:space="preserve">socialisme </w:t>
      </w:r>
      <w:r w:rsidR="00177012">
        <w:rPr>
          <w:rFonts w:ascii="Times New Roman" w:hAnsi="Times New Roman"/>
          <w:sz w:val="24"/>
        </w:rPr>
        <w:t xml:space="preserve">en anarchisme </w:t>
      </w:r>
      <w:r w:rsidR="00BA3AB8">
        <w:rPr>
          <w:rFonts w:ascii="Times New Roman" w:hAnsi="Times New Roman"/>
          <w:sz w:val="24"/>
        </w:rPr>
        <w:t>ging</w:t>
      </w:r>
      <w:r w:rsidR="00177012">
        <w:rPr>
          <w:rFonts w:ascii="Times New Roman" w:hAnsi="Times New Roman"/>
          <w:sz w:val="24"/>
        </w:rPr>
        <w:t>en</w:t>
      </w:r>
      <w:r w:rsidR="00BA3AB8">
        <w:rPr>
          <w:rFonts w:ascii="Times New Roman" w:hAnsi="Times New Roman"/>
          <w:sz w:val="24"/>
        </w:rPr>
        <w:t xml:space="preserve"> vaak gepaard met een republikeinse gezindheid</w:t>
      </w:r>
      <w:r w:rsidR="003208E7">
        <w:rPr>
          <w:rFonts w:ascii="Times New Roman" w:hAnsi="Times New Roman"/>
          <w:sz w:val="24"/>
        </w:rPr>
        <w:t>,</w:t>
      </w:r>
      <w:r w:rsidR="00BA3AB8">
        <w:rPr>
          <w:rFonts w:ascii="Times New Roman" w:hAnsi="Times New Roman"/>
          <w:sz w:val="24"/>
        </w:rPr>
        <w:t xml:space="preserve"> en de Koning was in de ogen van sommige </w:t>
      </w:r>
      <w:r w:rsidR="000F19F7">
        <w:rPr>
          <w:rFonts w:ascii="Times New Roman" w:hAnsi="Times New Roman"/>
          <w:sz w:val="24"/>
        </w:rPr>
        <w:t xml:space="preserve">anarchisten en </w:t>
      </w:r>
      <w:r w:rsidR="00BA3AB8">
        <w:rPr>
          <w:rFonts w:ascii="Times New Roman" w:hAnsi="Times New Roman"/>
          <w:sz w:val="24"/>
        </w:rPr>
        <w:t xml:space="preserve">socialisten niet zozeer een symbool voor de eenheid van de natie als wel voor </w:t>
      </w:r>
      <w:r w:rsidR="00177012">
        <w:rPr>
          <w:rFonts w:ascii="Times New Roman" w:hAnsi="Times New Roman"/>
          <w:sz w:val="24"/>
        </w:rPr>
        <w:t xml:space="preserve">de ongelijkheid onder zijn onderdanen en voor </w:t>
      </w:r>
      <w:r w:rsidR="00BA3AB8">
        <w:rPr>
          <w:rFonts w:ascii="Times New Roman" w:hAnsi="Times New Roman"/>
          <w:sz w:val="24"/>
        </w:rPr>
        <w:t>het kapitalisme. De gevallen van majesteitsschennis in het kader van deze sociaal-politieke strij</w:t>
      </w:r>
      <w:r w:rsidR="00F33A35">
        <w:rPr>
          <w:rFonts w:ascii="Times New Roman" w:hAnsi="Times New Roman"/>
          <w:sz w:val="24"/>
        </w:rPr>
        <w:t>d</w:t>
      </w:r>
      <w:r w:rsidR="00BA3AB8">
        <w:rPr>
          <w:rFonts w:ascii="Times New Roman" w:hAnsi="Times New Roman"/>
          <w:sz w:val="24"/>
        </w:rPr>
        <w:t xml:space="preserve"> zouden we </w:t>
      </w:r>
      <w:r w:rsidR="00A40200">
        <w:rPr>
          <w:rFonts w:ascii="Times New Roman" w:hAnsi="Times New Roman"/>
          <w:sz w:val="24"/>
        </w:rPr>
        <w:t xml:space="preserve">in de huidige tijd wellicht </w:t>
      </w:r>
      <w:r w:rsidR="00BA3AB8">
        <w:rPr>
          <w:rFonts w:ascii="Times New Roman" w:hAnsi="Times New Roman"/>
          <w:sz w:val="24"/>
        </w:rPr>
        <w:t xml:space="preserve">zien </w:t>
      </w:r>
      <w:r w:rsidR="00A40200">
        <w:rPr>
          <w:rFonts w:ascii="Times New Roman" w:hAnsi="Times New Roman"/>
          <w:sz w:val="24"/>
        </w:rPr>
        <w:t xml:space="preserve">als niet al te ernstige “bedrijfsongevallen”, maar  in die tijd werden zware gevangenisstraffen </w:t>
      </w:r>
      <w:r w:rsidR="000F19F7">
        <w:rPr>
          <w:rFonts w:ascii="Times New Roman" w:hAnsi="Times New Roman"/>
          <w:sz w:val="24"/>
        </w:rPr>
        <w:t xml:space="preserve">hiervoor </w:t>
      </w:r>
      <w:r w:rsidR="00A40200">
        <w:rPr>
          <w:rFonts w:ascii="Times New Roman" w:hAnsi="Times New Roman"/>
          <w:sz w:val="24"/>
        </w:rPr>
        <w:t xml:space="preserve">niet geschuwd. </w:t>
      </w:r>
    </w:p>
    <w:p w:rsidR="00D70D42" w:rsidRDefault="00CD56C0" w:rsidP="00473B66">
      <w:pPr>
        <w:rPr>
          <w:rFonts w:ascii="Times New Roman" w:hAnsi="Times New Roman"/>
          <w:sz w:val="24"/>
        </w:rPr>
      </w:pPr>
      <w:r>
        <w:rPr>
          <w:rFonts w:ascii="Times New Roman" w:hAnsi="Times New Roman"/>
          <w:sz w:val="24"/>
        </w:rPr>
        <w:t>Dat blijkt bijvoorbeeld uit</w:t>
      </w:r>
      <w:r w:rsidR="00A40200">
        <w:rPr>
          <w:rFonts w:ascii="Times New Roman" w:hAnsi="Times New Roman"/>
          <w:sz w:val="24"/>
        </w:rPr>
        <w:t xml:space="preserve"> een tijdschrift</w:t>
      </w:r>
      <w:r w:rsidR="00A40200" w:rsidRPr="00A40200">
        <w:rPr>
          <w:rFonts w:ascii="Times New Roman" w:hAnsi="Times New Roman"/>
          <w:sz w:val="24"/>
        </w:rPr>
        <w:t xml:space="preserve">artikel </w:t>
      </w:r>
      <w:r w:rsidR="00A40200">
        <w:rPr>
          <w:rFonts w:ascii="Times New Roman" w:hAnsi="Times New Roman"/>
          <w:sz w:val="24"/>
        </w:rPr>
        <w:t xml:space="preserve">waarin </w:t>
      </w:r>
      <w:r w:rsidR="00F82185">
        <w:rPr>
          <w:rFonts w:ascii="Times New Roman" w:hAnsi="Times New Roman"/>
          <w:sz w:val="24"/>
        </w:rPr>
        <w:t>K</w:t>
      </w:r>
      <w:r w:rsidR="00A40200" w:rsidRPr="00A40200">
        <w:rPr>
          <w:rFonts w:ascii="Times New Roman" w:hAnsi="Times New Roman"/>
          <w:sz w:val="24"/>
        </w:rPr>
        <w:t xml:space="preserve">oning Willem III </w:t>
      </w:r>
      <w:r w:rsidR="00A40200">
        <w:rPr>
          <w:rFonts w:ascii="Times New Roman" w:hAnsi="Times New Roman"/>
          <w:sz w:val="24"/>
        </w:rPr>
        <w:t xml:space="preserve">werd </w:t>
      </w:r>
      <w:r w:rsidR="00A40200" w:rsidRPr="00A40200">
        <w:rPr>
          <w:rFonts w:ascii="Times New Roman" w:hAnsi="Times New Roman"/>
          <w:sz w:val="24"/>
        </w:rPr>
        <w:t>getypeerd als “iemand die zo weinig van zijn baantje maakt</w:t>
      </w:r>
      <w:r w:rsidR="00A40200">
        <w:rPr>
          <w:rFonts w:ascii="Times New Roman" w:hAnsi="Times New Roman"/>
          <w:sz w:val="24"/>
        </w:rPr>
        <w:t xml:space="preserve">”, gepaard gaande met </w:t>
      </w:r>
      <w:r w:rsidR="00A40200" w:rsidRPr="00A40200">
        <w:rPr>
          <w:rFonts w:ascii="Times New Roman" w:hAnsi="Times New Roman"/>
          <w:sz w:val="24"/>
        </w:rPr>
        <w:t>een tiental blanco bladzijden</w:t>
      </w:r>
      <w:r w:rsidR="00A40200">
        <w:rPr>
          <w:rFonts w:ascii="Times New Roman" w:hAnsi="Times New Roman"/>
          <w:sz w:val="24"/>
        </w:rPr>
        <w:t>,</w:t>
      </w:r>
      <w:r w:rsidR="00A40200" w:rsidRPr="00A40200">
        <w:rPr>
          <w:rFonts w:ascii="Times New Roman" w:hAnsi="Times New Roman"/>
          <w:sz w:val="24"/>
        </w:rPr>
        <w:t xml:space="preserve"> </w:t>
      </w:r>
      <w:r w:rsidR="00B359AA">
        <w:rPr>
          <w:rFonts w:ascii="Times New Roman" w:hAnsi="Times New Roman"/>
          <w:sz w:val="24"/>
        </w:rPr>
        <w:t xml:space="preserve">die de </w:t>
      </w:r>
      <w:r w:rsidR="00A40200" w:rsidRPr="00A40200">
        <w:rPr>
          <w:rFonts w:ascii="Times New Roman" w:hAnsi="Times New Roman"/>
          <w:sz w:val="24"/>
        </w:rPr>
        <w:t xml:space="preserve"> activiteiten </w:t>
      </w:r>
      <w:r w:rsidR="00A40200">
        <w:rPr>
          <w:rFonts w:ascii="Times New Roman" w:hAnsi="Times New Roman"/>
          <w:sz w:val="24"/>
        </w:rPr>
        <w:t>van de k</w:t>
      </w:r>
      <w:r w:rsidR="00A40200" w:rsidRPr="00A40200">
        <w:rPr>
          <w:rFonts w:ascii="Times New Roman" w:hAnsi="Times New Roman"/>
          <w:sz w:val="24"/>
        </w:rPr>
        <w:t>oning</w:t>
      </w:r>
      <w:r w:rsidR="00B359AA">
        <w:rPr>
          <w:rFonts w:ascii="Times New Roman" w:hAnsi="Times New Roman"/>
          <w:sz w:val="24"/>
        </w:rPr>
        <w:t xml:space="preserve"> moesten voorstellen</w:t>
      </w:r>
      <w:r w:rsidR="00A40200">
        <w:rPr>
          <w:rFonts w:ascii="Times New Roman" w:hAnsi="Times New Roman"/>
          <w:sz w:val="24"/>
        </w:rPr>
        <w:t>. De verantwoordelijke</w:t>
      </w:r>
      <w:r w:rsidR="00A40200" w:rsidRPr="00A40200">
        <w:rPr>
          <w:rFonts w:ascii="Times New Roman" w:hAnsi="Times New Roman"/>
          <w:sz w:val="24"/>
        </w:rPr>
        <w:t xml:space="preserve"> hoofdredacteur Domela Nieuwenhuis </w:t>
      </w:r>
      <w:r w:rsidR="00A40200">
        <w:rPr>
          <w:rFonts w:ascii="Times New Roman" w:hAnsi="Times New Roman"/>
          <w:sz w:val="24"/>
        </w:rPr>
        <w:t xml:space="preserve">werd </w:t>
      </w:r>
      <w:r w:rsidR="00803525">
        <w:rPr>
          <w:rFonts w:ascii="Times New Roman" w:hAnsi="Times New Roman"/>
          <w:sz w:val="24"/>
        </w:rPr>
        <w:t xml:space="preserve">hiervoor </w:t>
      </w:r>
      <w:r w:rsidR="00A40200">
        <w:rPr>
          <w:rFonts w:ascii="Times New Roman" w:hAnsi="Times New Roman"/>
          <w:sz w:val="24"/>
        </w:rPr>
        <w:t xml:space="preserve">tot een jaar gevangenisstraf veroordeeld, waarvan hij </w:t>
      </w:r>
      <w:r w:rsidR="00A40200" w:rsidRPr="00A40200">
        <w:rPr>
          <w:rFonts w:ascii="Times New Roman" w:hAnsi="Times New Roman"/>
          <w:sz w:val="24"/>
        </w:rPr>
        <w:t xml:space="preserve">zeven maanden </w:t>
      </w:r>
      <w:r w:rsidR="00A40200">
        <w:rPr>
          <w:rFonts w:ascii="Times New Roman" w:hAnsi="Times New Roman"/>
          <w:sz w:val="24"/>
        </w:rPr>
        <w:t>uitzat.</w:t>
      </w:r>
      <w:r w:rsidR="00F33A35" w:rsidRPr="00A77A2C">
        <w:rPr>
          <w:rFonts w:ascii="Times New Roman" w:hAnsi="Times New Roman"/>
          <w:sz w:val="24"/>
          <w:vertAlign w:val="superscript"/>
        </w:rPr>
        <w:footnoteReference w:id="2"/>
      </w:r>
    </w:p>
    <w:p w:rsidR="005B6D40" w:rsidRDefault="005B6D40" w:rsidP="00473B66">
      <w:pPr>
        <w:rPr>
          <w:rFonts w:ascii="Times New Roman" w:hAnsi="Times New Roman"/>
          <w:sz w:val="24"/>
        </w:rPr>
      </w:pPr>
    </w:p>
    <w:p w:rsidR="00745B98" w:rsidRDefault="00CD56C0" w:rsidP="005E5C73">
      <w:pPr>
        <w:rPr>
          <w:rFonts w:ascii="Times New Roman" w:hAnsi="Times New Roman"/>
          <w:sz w:val="24"/>
        </w:rPr>
      </w:pPr>
      <w:r>
        <w:rPr>
          <w:rFonts w:ascii="Times New Roman" w:hAnsi="Times New Roman"/>
          <w:sz w:val="24"/>
        </w:rPr>
        <w:t>De</w:t>
      </w:r>
      <w:r w:rsidR="005E5C73">
        <w:rPr>
          <w:rFonts w:ascii="Times New Roman" w:hAnsi="Times New Roman"/>
          <w:sz w:val="24"/>
        </w:rPr>
        <w:t xml:space="preserve"> jaren zestig van de vorige eeuw, een tijd van de nodige botsingen </w:t>
      </w:r>
      <w:r w:rsidR="005E5C73" w:rsidRPr="005E5C73">
        <w:rPr>
          <w:rFonts w:ascii="Times New Roman" w:hAnsi="Times New Roman"/>
          <w:sz w:val="24"/>
        </w:rPr>
        <w:t>tussen jongeren en het gezag</w:t>
      </w:r>
      <w:r w:rsidR="00745B98">
        <w:rPr>
          <w:rFonts w:ascii="Times New Roman" w:hAnsi="Times New Roman"/>
          <w:sz w:val="24"/>
        </w:rPr>
        <w:t>, maar ook van “de door een deel van het Nederlands publiek niet direct begrepen huwelijkskeuze van prinses Beatrix”</w:t>
      </w:r>
      <w:r w:rsidR="00B06CCB">
        <w:rPr>
          <w:rStyle w:val="Voetnootmarkering"/>
          <w:rFonts w:ascii="Times New Roman" w:hAnsi="Times New Roman"/>
          <w:sz w:val="24"/>
        </w:rPr>
        <w:footnoteReference w:id="3"/>
      </w:r>
      <w:r w:rsidR="00B06CCB">
        <w:rPr>
          <w:rFonts w:ascii="Times New Roman" w:hAnsi="Times New Roman"/>
          <w:sz w:val="24"/>
        </w:rPr>
        <w:t>,</w:t>
      </w:r>
      <w:r w:rsidR="005E5C73">
        <w:rPr>
          <w:rFonts w:ascii="Times New Roman" w:hAnsi="Times New Roman"/>
          <w:sz w:val="24"/>
        </w:rPr>
        <w:t xml:space="preserve"> leverden </w:t>
      </w:r>
      <w:r>
        <w:rPr>
          <w:rFonts w:ascii="Times New Roman" w:hAnsi="Times New Roman"/>
          <w:sz w:val="24"/>
        </w:rPr>
        <w:t xml:space="preserve">eveneens </w:t>
      </w:r>
      <w:r w:rsidR="005E5C73">
        <w:rPr>
          <w:rFonts w:ascii="Times New Roman" w:hAnsi="Times New Roman"/>
          <w:sz w:val="24"/>
        </w:rPr>
        <w:t>enkele veroordelingen wegens majesteitsschennis op</w:t>
      </w:r>
      <w:r w:rsidR="008240FD">
        <w:rPr>
          <w:rFonts w:ascii="Times New Roman" w:hAnsi="Times New Roman"/>
          <w:sz w:val="24"/>
        </w:rPr>
        <w:t>. De opgelegde gevangenisstraffen daalden wel</w:t>
      </w:r>
      <w:r w:rsidR="005E5C73">
        <w:rPr>
          <w:rFonts w:ascii="Times New Roman" w:hAnsi="Times New Roman"/>
          <w:sz w:val="24"/>
        </w:rPr>
        <w:t xml:space="preserve">, </w:t>
      </w:r>
      <w:r w:rsidR="008240FD">
        <w:rPr>
          <w:rFonts w:ascii="Times New Roman" w:hAnsi="Times New Roman"/>
          <w:sz w:val="24"/>
        </w:rPr>
        <w:t xml:space="preserve">tot een niveau van drie à vier weken. Daarnaast werden </w:t>
      </w:r>
      <w:r w:rsidR="005E5C73">
        <w:rPr>
          <w:rFonts w:ascii="Times New Roman" w:hAnsi="Times New Roman"/>
          <w:sz w:val="24"/>
        </w:rPr>
        <w:t>geldboete</w:t>
      </w:r>
      <w:r w:rsidR="008240FD">
        <w:rPr>
          <w:rFonts w:ascii="Times New Roman" w:hAnsi="Times New Roman"/>
          <w:sz w:val="24"/>
        </w:rPr>
        <w:t>s opgelegd</w:t>
      </w:r>
      <w:r w:rsidR="005E5C73">
        <w:rPr>
          <w:rFonts w:ascii="Times New Roman" w:hAnsi="Times New Roman"/>
          <w:sz w:val="24"/>
        </w:rPr>
        <w:t>.</w:t>
      </w:r>
      <w:r w:rsidR="008240FD">
        <w:rPr>
          <w:rStyle w:val="Voetnootmarkering"/>
          <w:rFonts w:ascii="Times New Roman" w:hAnsi="Times New Roman"/>
          <w:sz w:val="24"/>
        </w:rPr>
        <w:footnoteReference w:id="4"/>
      </w:r>
      <w:r w:rsidR="00311FCB">
        <w:rPr>
          <w:rFonts w:ascii="Times New Roman" w:hAnsi="Times New Roman"/>
          <w:sz w:val="24"/>
        </w:rPr>
        <w:t xml:space="preserve"> </w:t>
      </w:r>
    </w:p>
    <w:p w:rsidR="005E5C73" w:rsidRDefault="005E5C73" w:rsidP="005E5C73">
      <w:pPr>
        <w:rPr>
          <w:rFonts w:ascii="Times New Roman" w:hAnsi="Times New Roman"/>
          <w:sz w:val="24"/>
        </w:rPr>
      </w:pPr>
      <w:r>
        <w:rPr>
          <w:rFonts w:ascii="Times New Roman" w:hAnsi="Times New Roman"/>
          <w:sz w:val="24"/>
        </w:rPr>
        <w:t xml:space="preserve">Daarna kwamen </w:t>
      </w:r>
      <w:r w:rsidRPr="005E5C73">
        <w:rPr>
          <w:rFonts w:ascii="Times New Roman" w:hAnsi="Times New Roman"/>
          <w:sz w:val="24"/>
        </w:rPr>
        <w:t>een aantal decennia</w:t>
      </w:r>
      <w:r>
        <w:rPr>
          <w:rFonts w:ascii="Times New Roman" w:hAnsi="Times New Roman"/>
          <w:sz w:val="24"/>
        </w:rPr>
        <w:t xml:space="preserve"> geen </w:t>
      </w:r>
      <w:r w:rsidRPr="005E5C73">
        <w:rPr>
          <w:rFonts w:ascii="Times New Roman" w:hAnsi="Times New Roman"/>
          <w:sz w:val="24"/>
        </w:rPr>
        <w:t>veroordeling</w:t>
      </w:r>
      <w:r>
        <w:rPr>
          <w:rFonts w:ascii="Times New Roman" w:hAnsi="Times New Roman"/>
          <w:sz w:val="24"/>
        </w:rPr>
        <w:t>en</w:t>
      </w:r>
      <w:r w:rsidRPr="005E5C73">
        <w:rPr>
          <w:rFonts w:ascii="Times New Roman" w:hAnsi="Times New Roman"/>
          <w:sz w:val="24"/>
        </w:rPr>
        <w:t xml:space="preserve"> wegens majesteitsschennis meer voor</w:t>
      </w:r>
      <w:r>
        <w:rPr>
          <w:rFonts w:ascii="Times New Roman" w:hAnsi="Times New Roman"/>
          <w:sz w:val="24"/>
        </w:rPr>
        <w:t xml:space="preserve">. </w:t>
      </w:r>
      <w:r w:rsidR="008B591E">
        <w:rPr>
          <w:rFonts w:ascii="Times New Roman" w:hAnsi="Times New Roman"/>
          <w:sz w:val="24"/>
        </w:rPr>
        <w:t xml:space="preserve">Waarschijnlijk werd wat minder snel dan voorheen aangenomen dat uitingen strafwaardig </w:t>
      </w:r>
      <w:r w:rsidR="000F19F7">
        <w:rPr>
          <w:rFonts w:ascii="Times New Roman" w:hAnsi="Times New Roman"/>
          <w:sz w:val="24"/>
        </w:rPr>
        <w:t>waren</w:t>
      </w:r>
      <w:r w:rsidR="008B591E">
        <w:rPr>
          <w:rFonts w:ascii="Times New Roman" w:hAnsi="Times New Roman"/>
          <w:sz w:val="24"/>
        </w:rPr>
        <w:t>.</w:t>
      </w:r>
    </w:p>
    <w:p w:rsidR="008B591E" w:rsidRDefault="008B591E" w:rsidP="005E5C73">
      <w:pPr>
        <w:rPr>
          <w:rFonts w:ascii="Times New Roman" w:hAnsi="Times New Roman"/>
          <w:sz w:val="24"/>
        </w:rPr>
      </w:pPr>
    </w:p>
    <w:p w:rsidR="007F7648" w:rsidRDefault="007F7648" w:rsidP="007F7648">
      <w:pPr>
        <w:rPr>
          <w:rFonts w:ascii="Times New Roman" w:hAnsi="Times New Roman"/>
          <w:sz w:val="24"/>
        </w:rPr>
      </w:pPr>
      <w:r>
        <w:rPr>
          <w:rFonts w:ascii="Times New Roman" w:hAnsi="Times New Roman"/>
          <w:sz w:val="24"/>
        </w:rPr>
        <w:t>Vanaf 1998 zijn er weer regelmatig vervolgingen; aanvankelijk vooral wegens belediging van de kroonprins en zijn echtgenote, sedert 2007 ook met betrekking tot de toenmalige Koningin en de huidige Koning en Koningin.</w:t>
      </w:r>
      <w:r w:rsidR="008D564E">
        <w:rPr>
          <w:rStyle w:val="Voetnootmarkering"/>
          <w:rFonts w:ascii="Times New Roman" w:hAnsi="Times New Roman"/>
          <w:sz w:val="24"/>
        </w:rPr>
        <w:footnoteReference w:id="5"/>
      </w:r>
      <w:r>
        <w:rPr>
          <w:rFonts w:ascii="Times New Roman" w:hAnsi="Times New Roman"/>
          <w:sz w:val="24"/>
        </w:rPr>
        <w:t xml:space="preserve"> De rechter gaat uit van de wet zoals hij thans luidt.</w:t>
      </w:r>
      <w:r>
        <w:rPr>
          <w:rStyle w:val="Voetnootmarkering"/>
          <w:rFonts w:ascii="Times New Roman" w:hAnsi="Times New Roman"/>
          <w:sz w:val="24"/>
        </w:rPr>
        <w:footnoteReference w:id="6"/>
      </w:r>
      <w:r w:rsidRPr="004B7579">
        <w:rPr>
          <w:rFonts w:ascii="Times New Roman" w:hAnsi="Times New Roman"/>
          <w:sz w:val="24"/>
        </w:rPr>
        <w:t xml:space="preserve"> </w:t>
      </w:r>
      <w:r>
        <w:rPr>
          <w:rFonts w:ascii="Times New Roman" w:hAnsi="Times New Roman"/>
          <w:sz w:val="24"/>
        </w:rPr>
        <w:t xml:space="preserve">Aan de onderliggende emoties en, vaak politieke, motieven van de betrokkene wordt niet veel gewicht toegekend. De feiten op zich worden meestal streng beoordeeld: een </w:t>
      </w:r>
      <w:r w:rsidRPr="003A6220">
        <w:rPr>
          <w:rFonts w:ascii="Times New Roman" w:hAnsi="Times New Roman"/>
          <w:sz w:val="24"/>
        </w:rPr>
        <w:t xml:space="preserve">uiting van minachting </w:t>
      </w:r>
      <w:r>
        <w:rPr>
          <w:rFonts w:ascii="Times New Roman" w:hAnsi="Times New Roman"/>
          <w:sz w:val="24"/>
        </w:rPr>
        <w:t xml:space="preserve">wordt </w:t>
      </w:r>
      <w:r w:rsidRPr="003A6220">
        <w:rPr>
          <w:rFonts w:ascii="Times New Roman" w:hAnsi="Times New Roman"/>
          <w:sz w:val="24"/>
        </w:rPr>
        <w:t>gelijk gesteld met het aantasten van de eer en de goede naam van de betrokkenen.</w:t>
      </w:r>
      <w:r>
        <w:rPr>
          <w:rStyle w:val="Voetnootmarkering"/>
          <w:rFonts w:ascii="Times New Roman" w:hAnsi="Times New Roman"/>
          <w:sz w:val="24"/>
        </w:rPr>
        <w:footnoteReference w:id="7"/>
      </w:r>
      <w:r>
        <w:rPr>
          <w:rFonts w:ascii="Times New Roman" w:hAnsi="Times New Roman"/>
          <w:sz w:val="24"/>
        </w:rPr>
        <w:t xml:space="preserve"> Wel komt de rechter soms tot het oordeel dat, hoewel de dader beledigende </w:t>
      </w:r>
      <w:r>
        <w:rPr>
          <w:rFonts w:ascii="Times New Roman" w:hAnsi="Times New Roman"/>
          <w:sz w:val="24"/>
        </w:rPr>
        <w:lastRenderedPageBreak/>
        <w:t xml:space="preserve">uitlatingen heeft gedaan, de </w:t>
      </w:r>
      <w:r w:rsidRPr="00F36A78">
        <w:rPr>
          <w:rFonts w:ascii="Times New Roman" w:hAnsi="Times New Roman"/>
          <w:sz w:val="24"/>
        </w:rPr>
        <w:t xml:space="preserve">bewezen verklaarde feiten niet aan </w:t>
      </w:r>
      <w:r>
        <w:rPr>
          <w:rFonts w:ascii="Times New Roman" w:hAnsi="Times New Roman"/>
          <w:sz w:val="24"/>
        </w:rPr>
        <w:t xml:space="preserve">de </w:t>
      </w:r>
      <w:r w:rsidRPr="00F36A78">
        <w:rPr>
          <w:rFonts w:ascii="Times New Roman" w:hAnsi="Times New Roman"/>
          <w:sz w:val="24"/>
        </w:rPr>
        <w:t>verdachte worden kunnen toegerekend.</w:t>
      </w:r>
      <w:r>
        <w:rPr>
          <w:rStyle w:val="Voetnootmarkering"/>
          <w:rFonts w:ascii="Times New Roman" w:hAnsi="Times New Roman"/>
          <w:sz w:val="24"/>
        </w:rPr>
        <w:footnoteReference w:id="8"/>
      </w:r>
      <w:r>
        <w:rPr>
          <w:rFonts w:ascii="Times New Roman" w:hAnsi="Times New Roman"/>
          <w:sz w:val="24"/>
        </w:rPr>
        <w:t xml:space="preserve"> </w:t>
      </w:r>
    </w:p>
    <w:p w:rsidR="007F7648" w:rsidRPr="00CF282F" w:rsidRDefault="007F7648" w:rsidP="007F7648">
      <w:pPr>
        <w:rPr>
          <w:rFonts w:ascii="Times New Roman" w:hAnsi="Times New Roman"/>
          <w:sz w:val="24"/>
        </w:rPr>
      </w:pPr>
      <w:r>
        <w:rPr>
          <w:rFonts w:ascii="Times New Roman" w:hAnsi="Times New Roman"/>
          <w:sz w:val="24"/>
        </w:rPr>
        <w:t xml:space="preserve">Anderzijds overwoog de </w:t>
      </w:r>
      <w:r w:rsidR="003208E7">
        <w:rPr>
          <w:rFonts w:ascii="Times New Roman" w:hAnsi="Times New Roman"/>
          <w:sz w:val="24"/>
        </w:rPr>
        <w:t xml:space="preserve">Amsterdamse </w:t>
      </w:r>
      <w:r>
        <w:rPr>
          <w:rFonts w:ascii="Times New Roman" w:hAnsi="Times New Roman"/>
          <w:sz w:val="24"/>
        </w:rPr>
        <w:t>politierechter in 2007 uitdrukkelijk, dat b</w:t>
      </w:r>
      <w:r w:rsidRPr="00B21D70">
        <w:rPr>
          <w:rFonts w:ascii="Times New Roman" w:hAnsi="Times New Roman"/>
          <w:sz w:val="24"/>
        </w:rPr>
        <w:t>ij het verwijt van majesteitsschennis de vraag moet worden gesteld of wellicht sprake is van een maatschappijkritische of politieke meningsuiting die bescherming verdient. Anders gezegd: publieke ambtsdragers, waaronder ook de koningin, moeten tegen een stootje kunnen</w:t>
      </w:r>
      <w:r>
        <w:rPr>
          <w:rFonts w:ascii="Times New Roman" w:hAnsi="Times New Roman"/>
          <w:sz w:val="24"/>
        </w:rPr>
        <w:t>.</w:t>
      </w:r>
      <w:r>
        <w:rPr>
          <w:rStyle w:val="Voetnootmarkering"/>
          <w:rFonts w:ascii="Times New Roman" w:hAnsi="Times New Roman"/>
          <w:sz w:val="24"/>
        </w:rPr>
        <w:footnoteReference w:id="9"/>
      </w:r>
      <w:r>
        <w:rPr>
          <w:rFonts w:ascii="Times New Roman" w:hAnsi="Times New Roman"/>
          <w:sz w:val="24"/>
        </w:rPr>
        <w:t xml:space="preserve"> </w:t>
      </w:r>
    </w:p>
    <w:p w:rsidR="007F7648" w:rsidRDefault="007F7648" w:rsidP="005A096A">
      <w:pPr>
        <w:rPr>
          <w:rFonts w:ascii="Times New Roman" w:hAnsi="Times New Roman"/>
          <w:sz w:val="24"/>
        </w:rPr>
      </w:pPr>
    </w:p>
    <w:p w:rsidR="00221D19" w:rsidRDefault="00B21D70" w:rsidP="005A096A">
      <w:pPr>
        <w:rPr>
          <w:rFonts w:ascii="Times New Roman" w:hAnsi="Times New Roman"/>
          <w:sz w:val="24"/>
        </w:rPr>
      </w:pPr>
      <w:r>
        <w:rPr>
          <w:rFonts w:ascii="Times New Roman" w:hAnsi="Times New Roman"/>
          <w:sz w:val="24"/>
        </w:rPr>
        <w:t xml:space="preserve">Het actuele beeld is </w:t>
      </w:r>
      <w:r w:rsidR="007F7648">
        <w:rPr>
          <w:rFonts w:ascii="Times New Roman" w:hAnsi="Times New Roman"/>
          <w:sz w:val="24"/>
        </w:rPr>
        <w:t>divers</w:t>
      </w:r>
      <w:r>
        <w:rPr>
          <w:rFonts w:ascii="Times New Roman" w:hAnsi="Times New Roman"/>
          <w:sz w:val="24"/>
        </w:rPr>
        <w:t>.</w:t>
      </w:r>
      <w:r>
        <w:rPr>
          <w:rFonts w:ascii="Times New Roman" w:hAnsi="Times New Roman"/>
          <w:i/>
          <w:sz w:val="24"/>
        </w:rPr>
        <w:t xml:space="preserve"> </w:t>
      </w:r>
      <w:r>
        <w:rPr>
          <w:rFonts w:ascii="Times New Roman" w:hAnsi="Times New Roman"/>
          <w:sz w:val="24"/>
        </w:rPr>
        <w:t>Er is geen sprake meer van felle sociale strijd zoals aan het einde van de achttiende eeuw, of</w:t>
      </w:r>
      <w:r w:rsidR="00221D19">
        <w:rPr>
          <w:rFonts w:ascii="Times New Roman" w:hAnsi="Times New Roman"/>
          <w:sz w:val="24"/>
        </w:rPr>
        <w:t xml:space="preserve"> van </w:t>
      </w:r>
      <w:r>
        <w:rPr>
          <w:rFonts w:ascii="Times New Roman" w:hAnsi="Times New Roman"/>
          <w:sz w:val="24"/>
        </w:rPr>
        <w:t xml:space="preserve">een beweging als in de jaren zestig, waarin de Koning gemakkelijk het mikpunt van kritiek kon worden. Er is nog wel een beweging die streeft naar een republikeinse staatsvorm, maar dat streven wordt meestal – in ieder geval vergeleken met de jaren zestig en zeventig van de vorige eeuw – op vreedzame en gematigde wijze uitgedragen. </w:t>
      </w:r>
    </w:p>
    <w:p w:rsidR="00B21D70" w:rsidRDefault="00B06CCB" w:rsidP="005A096A">
      <w:pPr>
        <w:rPr>
          <w:rFonts w:ascii="Times New Roman" w:hAnsi="Times New Roman"/>
          <w:sz w:val="24"/>
        </w:rPr>
      </w:pPr>
      <w:r>
        <w:rPr>
          <w:rFonts w:ascii="Times New Roman" w:hAnsi="Times New Roman"/>
          <w:sz w:val="24"/>
        </w:rPr>
        <w:t xml:space="preserve">Wanneer het gaat om kritiek en spot waarbij de grenzen van de strafrechtelijke belediging overschreden kunnen worden, kunnen cabaretiers, cartoonisten en  columnisten vanouds rekenen op een terughoudend vervolgingsbeleid. Nieuw is echter, dat inmiddels niet alleen zij, maar ook een grote schare twitteraars en reaguurders er veel werk van maakt </w:t>
      </w:r>
      <w:r w:rsidR="003208E7">
        <w:rPr>
          <w:rFonts w:ascii="Times New Roman" w:hAnsi="Times New Roman"/>
          <w:sz w:val="24"/>
        </w:rPr>
        <w:t xml:space="preserve">om </w:t>
      </w:r>
      <w:r>
        <w:rPr>
          <w:rFonts w:ascii="Times New Roman" w:hAnsi="Times New Roman"/>
          <w:sz w:val="24"/>
        </w:rPr>
        <w:t>zo scherp mogelijk uit de hoek te komen. Ook dat wordt meestal ongemoeid gelaten. Uiten zij zich echter op de openbare weg, dan levert dat nog regelmatig vervolging op.</w:t>
      </w:r>
    </w:p>
    <w:p w:rsidR="005E5C73" w:rsidRDefault="005E5C73" w:rsidP="00450C79">
      <w:pPr>
        <w:rPr>
          <w:rFonts w:ascii="Times New Roman" w:hAnsi="Times New Roman"/>
          <w:sz w:val="24"/>
        </w:rPr>
      </w:pPr>
    </w:p>
    <w:p w:rsidR="00F72921" w:rsidRDefault="00D51AD6" w:rsidP="00450C79">
      <w:pPr>
        <w:rPr>
          <w:rFonts w:ascii="Times New Roman" w:hAnsi="Times New Roman"/>
          <w:sz w:val="24"/>
        </w:rPr>
      </w:pPr>
      <w:r>
        <w:rPr>
          <w:rFonts w:ascii="Times New Roman" w:hAnsi="Times New Roman"/>
          <w:sz w:val="24"/>
        </w:rPr>
        <w:t xml:space="preserve">Van belang is ook de feitelijke ontwikkeling, waarin de Koning steeds meer een “Bekende Nederlander” </w:t>
      </w:r>
      <w:r w:rsidR="00564A32">
        <w:rPr>
          <w:rFonts w:ascii="Times New Roman" w:hAnsi="Times New Roman"/>
          <w:sz w:val="24"/>
        </w:rPr>
        <w:t>is geworden</w:t>
      </w:r>
      <w:r>
        <w:rPr>
          <w:rFonts w:ascii="Times New Roman" w:hAnsi="Times New Roman"/>
          <w:sz w:val="24"/>
        </w:rPr>
        <w:t xml:space="preserve">, die zich bedient van </w:t>
      </w:r>
      <w:r w:rsidR="00564A32">
        <w:rPr>
          <w:rFonts w:ascii="Times New Roman" w:hAnsi="Times New Roman"/>
          <w:sz w:val="24"/>
        </w:rPr>
        <w:t xml:space="preserve">professionele woordvoerders, goed voorbereide interviews </w:t>
      </w:r>
      <w:r w:rsidR="00F82185">
        <w:rPr>
          <w:rFonts w:ascii="Times New Roman" w:hAnsi="Times New Roman"/>
          <w:sz w:val="24"/>
        </w:rPr>
        <w:t xml:space="preserve">en </w:t>
      </w:r>
      <w:r>
        <w:rPr>
          <w:rFonts w:ascii="Times New Roman" w:hAnsi="Times New Roman"/>
          <w:sz w:val="24"/>
        </w:rPr>
        <w:t xml:space="preserve">een </w:t>
      </w:r>
      <w:r w:rsidR="00564A32">
        <w:rPr>
          <w:rFonts w:ascii="Times New Roman" w:hAnsi="Times New Roman"/>
          <w:sz w:val="24"/>
        </w:rPr>
        <w:t xml:space="preserve">uitgekiende </w:t>
      </w:r>
      <w:r>
        <w:rPr>
          <w:rFonts w:ascii="Times New Roman" w:hAnsi="Times New Roman"/>
          <w:sz w:val="24"/>
        </w:rPr>
        <w:t>mediastrategie. Daardoor verliest de gedachte dat de Koning “zich niet kan verdedigen” aan betekenis.</w:t>
      </w:r>
      <w:r w:rsidR="008D57E6">
        <w:rPr>
          <w:rStyle w:val="Voetnootmarkering"/>
          <w:rFonts w:ascii="Times New Roman" w:hAnsi="Times New Roman"/>
          <w:sz w:val="24"/>
        </w:rPr>
        <w:footnoteReference w:id="10"/>
      </w:r>
      <w:r>
        <w:rPr>
          <w:rFonts w:ascii="Times New Roman" w:hAnsi="Times New Roman"/>
          <w:sz w:val="24"/>
        </w:rPr>
        <w:t xml:space="preserve"> Dat</w:t>
      </w:r>
      <w:r w:rsidR="00564A32">
        <w:rPr>
          <w:rFonts w:ascii="Times New Roman" w:hAnsi="Times New Roman"/>
          <w:sz w:val="24"/>
        </w:rPr>
        <w:t>,</w:t>
      </w:r>
      <w:r>
        <w:rPr>
          <w:rFonts w:ascii="Times New Roman" w:hAnsi="Times New Roman"/>
          <w:sz w:val="24"/>
        </w:rPr>
        <w:t xml:space="preserve"> staatsrechtelijk</w:t>
      </w:r>
      <w:r w:rsidR="00564A32">
        <w:rPr>
          <w:rFonts w:ascii="Times New Roman" w:hAnsi="Times New Roman"/>
          <w:sz w:val="24"/>
        </w:rPr>
        <w:t xml:space="preserve">, in het parlement </w:t>
      </w:r>
      <w:r>
        <w:rPr>
          <w:rFonts w:ascii="Times New Roman" w:hAnsi="Times New Roman"/>
          <w:sz w:val="24"/>
        </w:rPr>
        <w:t xml:space="preserve">niet de Koning, maar de ministers verantwoordelijk zijn, </w:t>
      </w:r>
      <w:r w:rsidR="00564A32">
        <w:rPr>
          <w:rFonts w:ascii="Times New Roman" w:hAnsi="Times New Roman"/>
          <w:sz w:val="24"/>
        </w:rPr>
        <w:t xml:space="preserve">betekent niet </w:t>
      </w:r>
      <w:r>
        <w:rPr>
          <w:rFonts w:ascii="Times New Roman" w:hAnsi="Times New Roman"/>
          <w:sz w:val="24"/>
        </w:rPr>
        <w:t xml:space="preserve">dat de burger </w:t>
      </w:r>
      <w:r w:rsidR="00564A32">
        <w:rPr>
          <w:rFonts w:ascii="Times New Roman" w:hAnsi="Times New Roman"/>
          <w:sz w:val="24"/>
        </w:rPr>
        <w:t xml:space="preserve">zijn </w:t>
      </w:r>
      <w:r>
        <w:rPr>
          <w:rFonts w:ascii="Times New Roman" w:hAnsi="Times New Roman"/>
          <w:sz w:val="24"/>
        </w:rPr>
        <w:t xml:space="preserve">kritiek </w:t>
      </w:r>
      <w:r w:rsidR="00564A32">
        <w:rPr>
          <w:rFonts w:ascii="Times New Roman" w:hAnsi="Times New Roman"/>
          <w:sz w:val="24"/>
        </w:rPr>
        <w:t>op het handelen van de Koning, zowel in zijn functie als in zijn persoonlijk leven, niet tot de Koning zou mogen richten</w:t>
      </w:r>
      <w:r w:rsidR="00847059">
        <w:rPr>
          <w:rFonts w:ascii="Times New Roman" w:hAnsi="Times New Roman"/>
          <w:sz w:val="24"/>
        </w:rPr>
        <w:t>.</w:t>
      </w:r>
      <w:r w:rsidR="00AE7AD5">
        <w:rPr>
          <w:rStyle w:val="Voetnootmarkering"/>
          <w:rFonts w:ascii="Times New Roman" w:hAnsi="Times New Roman"/>
          <w:sz w:val="24"/>
        </w:rPr>
        <w:footnoteReference w:id="11"/>
      </w:r>
      <w:r w:rsidR="00847059">
        <w:rPr>
          <w:rFonts w:ascii="Times New Roman" w:hAnsi="Times New Roman"/>
          <w:sz w:val="24"/>
        </w:rPr>
        <w:t xml:space="preserve"> Dat impliceert uiteraard niet dat  </w:t>
      </w:r>
      <w:r w:rsidR="00564A32">
        <w:rPr>
          <w:rFonts w:ascii="Times New Roman" w:hAnsi="Times New Roman"/>
          <w:sz w:val="24"/>
        </w:rPr>
        <w:t xml:space="preserve">de Koning </w:t>
      </w:r>
      <w:r w:rsidR="00847059">
        <w:rPr>
          <w:rFonts w:ascii="Times New Roman" w:hAnsi="Times New Roman"/>
          <w:sz w:val="24"/>
        </w:rPr>
        <w:t xml:space="preserve">beledigd </w:t>
      </w:r>
      <w:r w:rsidR="00564A32">
        <w:rPr>
          <w:rFonts w:ascii="Times New Roman" w:hAnsi="Times New Roman"/>
          <w:sz w:val="24"/>
        </w:rPr>
        <w:t xml:space="preserve">mag </w:t>
      </w:r>
      <w:r w:rsidR="00847059">
        <w:rPr>
          <w:rFonts w:ascii="Times New Roman" w:hAnsi="Times New Roman"/>
          <w:sz w:val="24"/>
        </w:rPr>
        <w:t xml:space="preserve">worden. </w:t>
      </w:r>
      <w:r w:rsidR="00F82185">
        <w:rPr>
          <w:rFonts w:ascii="Times New Roman" w:hAnsi="Times New Roman"/>
          <w:sz w:val="24"/>
        </w:rPr>
        <w:t>De staatsrechtelijke positie van de Koning noodzaakt echter niet tot</w:t>
      </w:r>
      <w:r w:rsidR="00847059">
        <w:rPr>
          <w:rFonts w:ascii="Times New Roman" w:hAnsi="Times New Roman"/>
          <w:sz w:val="24"/>
        </w:rPr>
        <w:t xml:space="preserve"> een bijzondere bescherming in de vorm van het apart strafbaar stellen van majesteitsschennis, </w:t>
      </w:r>
      <w:r w:rsidR="00F82185">
        <w:rPr>
          <w:rFonts w:ascii="Times New Roman" w:hAnsi="Times New Roman"/>
          <w:sz w:val="24"/>
        </w:rPr>
        <w:t>z</w:t>
      </w:r>
      <w:r w:rsidR="00564A32">
        <w:rPr>
          <w:rFonts w:ascii="Times New Roman" w:hAnsi="Times New Roman"/>
          <w:sz w:val="24"/>
        </w:rPr>
        <w:t>ò</w:t>
      </w:r>
      <w:r w:rsidR="00F82185">
        <w:rPr>
          <w:rFonts w:ascii="Times New Roman" w:hAnsi="Times New Roman"/>
          <w:sz w:val="24"/>
        </w:rPr>
        <w:t>nder de rechtvaardigingsgronden van de commune beledigingsdelicten</w:t>
      </w:r>
      <w:r w:rsidR="00847059">
        <w:rPr>
          <w:rFonts w:ascii="Times New Roman" w:hAnsi="Times New Roman"/>
          <w:sz w:val="24"/>
        </w:rPr>
        <w:t>.</w:t>
      </w:r>
      <w:r w:rsidR="00847059">
        <w:rPr>
          <w:rStyle w:val="Voetnootmarkering"/>
          <w:rFonts w:ascii="Times New Roman" w:hAnsi="Times New Roman"/>
          <w:sz w:val="24"/>
        </w:rPr>
        <w:footnoteReference w:id="12"/>
      </w:r>
      <w:r w:rsidR="00847059">
        <w:rPr>
          <w:rFonts w:ascii="Times New Roman" w:hAnsi="Times New Roman"/>
          <w:sz w:val="24"/>
        </w:rPr>
        <w:t xml:space="preserve"> </w:t>
      </w:r>
    </w:p>
    <w:p w:rsidR="00847059" w:rsidRPr="00450C79" w:rsidRDefault="00847059" w:rsidP="00450C79">
      <w:pPr>
        <w:rPr>
          <w:rFonts w:ascii="Times New Roman" w:hAnsi="Times New Roman"/>
          <w:sz w:val="24"/>
        </w:rPr>
      </w:pPr>
    </w:p>
    <w:p w:rsidR="008A0162" w:rsidRPr="00CF282F" w:rsidRDefault="008A0162" w:rsidP="005D44DE">
      <w:pPr>
        <w:rPr>
          <w:rFonts w:ascii="Times New Roman" w:hAnsi="Times New Roman"/>
          <w:i/>
          <w:sz w:val="24"/>
        </w:rPr>
      </w:pPr>
      <w:r w:rsidRPr="00CF282F">
        <w:rPr>
          <w:rFonts w:ascii="Times New Roman" w:hAnsi="Times New Roman"/>
          <w:i/>
          <w:sz w:val="24"/>
        </w:rPr>
        <w:t>2.</w:t>
      </w:r>
      <w:r w:rsidR="004A1E4C" w:rsidRPr="00CF282F">
        <w:rPr>
          <w:rFonts w:ascii="Times New Roman" w:hAnsi="Times New Roman"/>
          <w:i/>
          <w:sz w:val="24"/>
        </w:rPr>
        <w:t>2</w:t>
      </w:r>
      <w:r w:rsidRPr="00CF282F">
        <w:rPr>
          <w:rFonts w:ascii="Times New Roman" w:hAnsi="Times New Roman"/>
          <w:i/>
          <w:sz w:val="24"/>
        </w:rPr>
        <w:t xml:space="preserve">. </w:t>
      </w:r>
      <w:r w:rsidR="004A1E4C" w:rsidRPr="00CF282F">
        <w:rPr>
          <w:rFonts w:ascii="Times New Roman" w:hAnsi="Times New Roman"/>
          <w:i/>
          <w:sz w:val="24"/>
        </w:rPr>
        <w:t>Internationaal</w:t>
      </w:r>
    </w:p>
    <w:p w:rsidR="008A0162" w:rsidRPr="00CF282F" w:rsidRDefault="008A0162" w:rsidP="005D44DE">
      <w:pPr>
        <w:rPr>
          <w:rFonts w:ascii="Times New Roman" w:hAnsi="Times New Roman"/>
          <w:sz w:val="24"/>
        </w:rPr>
      </w:pPr>
    </w:p>
    <w:p w:rsidR="00650176" w:rsidRDefault="00CF282F" w:rsidP="00CF282F">
      <w:pPr>
        <w:rPr>
          <w:rFonts w:ascii="Times New Roman" w:hAnsi="Times New Roman"/>
          <w:sz w:val="24"/>
        </w:rPr>
      </w:pPr>
      <w:r w:rsidRPr="00CF282F">
        <w:rPr>
          <w:rFonts w:ascii="Times New Roman" w:hAnsi="Times New Roman"/>
          <w:sz w:val="24"/>
        </w:rPr>
        <w:t xml:space="preserve">De vrijheid van meningsuiting </w:t>
      </w:r>
      <w:r w:rsidR="00650176">
        <w:rPr>
          <w:rFonts w:ascii="Times New Roman" w:hAnsi="Times New Roman"/>
          <w:sz w:val="24"/>
        </w:rPr>
        <w:t xml:space="preserve">is één van de fundamentele </w:t>
      </w:r>
      <w:r w:rsidRPr="00CF282F">
        <w:rPr>
          <w:rFonts w:ascii="Times New Roman" w:hAnsi="Times New Roman"/>
          <w:sz w:val="24"/>
        </w:rPr>
        <w:t xml:space="preserve">grondslagen van een democratische samenleving. </w:t>
      </w:r>
      <w:r w:rsidR="00650176">
        <w:rPr>
          <w:rFonts w:ascii="Times New Roman" w:hAnsi="Times New Roman"/>
          <w:sz w:val="24"/>
        </w:rPr>
        <w:t xml:space="preserve">Die wordt niet alleen op nationaal niveau beschermd – </w:t>
      </w:r>
      <w:r w:rsidR="00650176" w:rsidRPr="00CF282F">
        <w:rPr>
          <w:rFonts w:ascii="Times New Roman" w:hAnsi="Times New Roman"/>
          <w:sz w:val="24"/>
        </w:rPr>
        <w:t xml:space="preserve">in artikel 7 </w:t>
      </w:r>
      <w:r w:rsidR="00650176">
        <w:rPr>
          <w:rFonts w:ascii="Times New Roman" w:hAnsi="Times New Roman"/>
          <w:sz w:val="24"/>
        </w:rPr>
        <w:t xml:space="preserve">van </w:t>
      </w:r>
      <w:r w:rsidR="00221D19">
        <w:rPr>
          <w:rFonts w:ascii="Times New Roman" w:hAnsi="Times New Roman"/>
          <w:sz w:val="24"/>
        </w:rPr>
        <w:t>onze</w:t>
      </w:r>
      <w:r w:rsidR="00650176">
        <w:rPr>
          <w:rFonts w:ascii="Times New Roman" w:hAnsi="Times New Roman"/>
          <w:sz w:val="24"/>
        </w:rPr>
        <w:t xml:space="preserve"> </w:t>
      </w:r>
      <w:r w:rsidR="00650176" w:rsidRPr="00CF282F">
        <w:rPr>
          <w:rFonts w:ascii="Times New Roman" w:hAnsi="Times New Roman"/>
          <w:sz w:val="24"/>
        </w:rPr>
        <w:t>Grondwet</w:t>
      </w:r>
      <w:r w:rsidR="00650176">
        <w:rPr>
          <w:rFonts w:ascii="Times New Roman" w:hAnsi="Times New Roman"/>
          <w:sz w:val="24"/>
        </w:rPr>
        <w:t xml:space="preserve"> – maar ook internationaal. </w:t>
      </w:r>
    </w:p>
    <w:p w:rsidR="00650176" w:rsidRDefault="00650176" w:rsidP="00650176">
      <w:pPr>
        <w:rPr>
          <w:rFonts w:ascii="Times New Roman" w:hAnsi="Times New Roman"/>
          <w:sz w:val="24"/>
        </w:rPr>
      </w:pPr>
      <w:r w:rsidRPr="00CF282F">
        <w:rPr>
          <w:rFonts w:ascii="Times New Roman" w:hAnsi="Times New Roman"/>
          <w:sz w:val="24"/>
        </w:rPr>
        <w:t xml:space="preserve">Voor Nederland is met name de Europese rechtsorde van belang. </w:t>
      </w:r>
      <w:r>
        <w:rPr>
          <w:rFonts w:ascii="Times New Roman" w:hAnsi="Times New Roman"/>
          <w:sz w:val="24"/>
        </w:rPr>
        <w:t xml:space="preserve">Daarbij gaat het in het bijzonder om </w:t>
      </w:r>
      <w:r w:rsidRPr="00CF282F">
        <w:rPr>
          <w:rFonts w:ascii="Times New Roman" w:hAnsi="Times New Roman"/>
          <w:sz w:val="24"/>
        </w:rPr>
        <w:t xml:space="preserve">artikel 10 van het Europees Verdrag voor de Rechten van de Mens (EVRM). </w:t>
      </w:r>
    </w:p>
    <w:p w:rsidR="00CF282F" w:rsidRDefault="00650176" w:rsidP="00CF282F">
      <w:pPr>
        <w:rPr>
          <w:rFonts w:ascii="Times New Roman" w:hAnsi="Times New Roman"/>
          <w:sz w:val="24"/>
        </w:rPr>
      </w:pPr>
      <w:r>
        <w:rPr>
          <w:rFonts w:ascii="Times New Roman" w:hAnsi="Times New Roman"/>
          <w:sz w:val="24"/>
        </w:rPr>
        <w:t xml:space="preserve">De Nederlandse rechter mag wetten </w:t>
      </w:r>
      <w:r w:rsidR="00CF282F" w:rsidRPr="00CF282F">
        <w:rPr>
          <w:rFonts w:ascii="Times New Roman" w:hAnsi="Times New Roman"/>
          <w:sz w:val="24"/>
        </w:rPr>
        <w:t>toetsen aan het EVRM en kan vrijwel alle bepalingen met voorrang toepassen in nationale procedures. Nederland is gebonden aan uitspraken van het E</w:t>
      </w:r>
      <w:r w:rsidR="00F56788">
        <w:rPr>
          <w:rFonts w:ascii="Times New Roman" w:hAnsi="Times New Roman"/>
          <w:sz w:val="24"/>
        </w:rPr>
        <w:t>uropese Hof voor de Rechten van de Mens (E</w:t>
      </w:r>
      <w:r w:rsidR="00CF282F" w:rsidRPr="00CF282F">
        <w:rPr>
          <w:rFonts w:ascii="Times New Roman" w:hAnsi="Times New Roman"/>
          <w:sz w:val="24"/>
        </w:rPr>
        <w:t>HRM</w:t>
      </w:r>
      <w:r w:rsidR="00F56788">
        <w:rPr>
          <w:rFonts w:ascii="Times New Roman" w:hAnsi="Times New Roman"/>
          <w:sz w:val="24"/>
        </w:rPr>
        <w:t>)</w:t>
      </w:r>
      <w:r w:rsidR="00CF282F" w:rsidRPr="00CF282F">
        <w:rPr>
          <w:rFonts w:ascii="Times New Roman" w:hAnsi="Times New Roman"/>
          <w:sz w:val="24"/>
        </w:rPr>
        <w:t xml:space="preserve"> in zaken tegen Nederland (artikel 46</w:t>
      </w:r>
      <w:r w:rsidR="00F56788">
        <w:rPr>
          <w:rFonts w:ascii="Times New Roman" w:hAnsi="Times New Roman"/>
          <w:sz w:val="24"/>
        </w:rPr>
        <w:t>,</w:t>
      </w:r>
      <w:r w:rsidR="00CF282F" w:rsidRPr="00CF282F">
        <w:rPr>
          <w:rFonts w:ascii="Times New Roman" w:hAnsi="Times New Roman"/>
          <w:sz w:val="24"/>
        </w:rPr>
        <w:t xml:space="preserve"> </w:t>
      </w:r>
      <w:r w:rsidR="000F19F7">
        <w:rPr>
          <w:rFonts w:ascii="Times New Roman" w:hAnsi="Times New Roman"/>
          <w:sz w:val="24"/>
        </w:rPr>
        <w:t>eerste lid</w:t>
      </w:r>
      <w:r w:rsidR="00F56788">
        <w:rPr>
          <w:rFonts w:ascii="Times New Roman" w:hAnsi="Times New Roman"/>
          <w:sz w:val="24"/>
        </w:rPr>
        <w:t>,</w:t>
      </w:r>
      <w:r w:rsidR="00CF282F" w:rsidRPr="00CF282F">
        <w:rPr>
          <w:rFonts w:ascii="Times New Roman" w:hAnsi="Times New Roman"/>
          <w:sz w:val="24"/>
        </w:rPr>
        <w:t xml:space="preserve"> EVRM). Op grond van de </w:t>
      </w:r>
      <w:r w:rsidRPr="00CF282F">
        <w:rPr>
          <w:rFonts w:ascii="Times New Roman" w:hAnsi="Times New Roman"/>
          <w:sz w:val="24"/>
        </w:rPr>
        <w:t>artikel</w:t>
      </w:r>
      <w:r>
        <w:rPr>
          <w:rFonts w:ascii="Times New Roman" w:hAnsi="Times New Roman"/>
          <w:sz w:val="24"/>
        </w:rPr>
        <w:t xml:space="preserve">en 93 en 94 Grondwet van de </w:t>
      </w:r>
      <w:r w:rsidR="00CF282F" w:rsidRPr="00CF282F">
        <w:rPr>
          <w:rFonts w:ascii="Times New Roman" w:hAnsi="Times New Roman"/>
          <w:sz w:val="24"/>
        </w:rPr>
        <w:t xml:space="preserve">Nederlandse Grondwet werkt al het bindende internationale recht automatisch door in de nationale </w:t>
      </w:r>
      <w:r w:rsidR="00CF282F" w:rsidRPr="00CF282F">
        <w:rPr>
          <w:rFonts w:ascii="Times New Roman" w:hAnsi="Times New Roman"/>
          <w:sz w:val="24"/>
        </w:rPr>
        <w:lastRenderedPageBreak/>
        <w:t xml:space="preserve">rechtsorde en heeft </w:t>
      </w:r>
      <w:r w:rsidR="00221D19" w:rsidRPr="00CF282F">
        <w:rPr>
          <w:rFonts w:ascii="Times New Roman" w:hAnsi="Times New Roman"/>
          <w:sz w:val="24"/>
        </w:rPr>
        <w:t xml:space="preserve">het </w:t>
      </w:r>
      <w:r w:rsidR="00CF282F" w:rsidRPr="00CF282F">
        <w:rPr>
          <w:rFonts w:ascii="Times New Roman" w:hAnsi="Times New Roman"/>
          <w:sz w:val="24"/>
        </w:rPr>
        <w:t>voorrang op het nationale recht. De wetgever, de rechter en het bestuur zijn daaraan gebonden en mogen er niet mee in strijd handelen.</w:t>
      </w:r>
    </w:p>
    <w:p w:rsidR="00CF282F" w:rsidRPr="00CF282F" w:rsidRDefault="00CF282F" w:rsidP="00CF282F">
      <w:pPr>
        <w:rPr>
          <w:rFonts w:ascii="Times New Roman" w:hAnsi="Times New Roman"/>
          <w:sz w:val="24"/>
        </w:rPr>
      </w:pPr>
    </w:p>
    <w:p w:rsidR="00557167" w:rsidRDefault="00CF282F" w:rsidP="00CF282F">
      <w:pPr>
        <w:rPr>
          <w:rFonts w:ascii="Times New Roman" w:hAnsi="Times New Roman"/>
          <w:sz w:val="24"/>
        </w:rPr>
      </w:pPr>
      <w:r w:rsidRPr="00CF282F">
        <w:rPr>
          <w:rFonts w:ascii="Times New Roman" w:hAnsi="Times New Roman"/>
          <w:sz w:val="24"/>
        </w:rPr>
        <w:t xml:space="preserve">De uitingsvrijheid in artikel 10 EVRM is niet absoluut, maar mag ook niet zomaar worden ingeperkt. De uitingsvrijheid kan slechts worden beperkt met inachtneming van de vereisten van </w:t>
      </w:r>
      <w:r w:rsidR="00650176">
        <w:rPr>
          <w:rFonts w:ascii="Times New Roman" w:hAnsi="Times New Roman"/>
          <w:sz w:val="24"/>
        </w:rPr>
        <w:t xml:space="preserve">het tweede lid van </w:t>
      </w:r>
      <w:r w:rsidRPr="00CF282F">
        <w:rPr>
          <w:rFonts w:ascii="Times New Roman" w:hAnsi="Times New Roman"/>
          <w:sz w:val="24"/>
        </w:rPr>
        <w:t>artikel 10 EVRM. Dit houdt in dat de uitingsvrijheid kan worden ingeperkt wanneer</w:t>
      </w:r>
      <w:r w:rsidR="00557167">
        <w:rPr>
          <w:rFonts w:ascii="Times New Roman" w:hAnsi="Times New Roman"/>
          <w:sz w:val="24"/>
        </w:rPr>
        <w:t>:</w:t>
      </w:r>
    </w:p>
    <w:p w:rsidR="00557167" w:rsidRDefault="00525193" w:rsidP="00CF282F">
      <w:pPr>
        <w:rPr>
          <w:rFonts w:ascii="Times New Roman" w:hAnsi="Times New Roman"/>
          <w:sz w:val="24"/>
        </w:rPr>
      </w:pPr>
      <w:r>
        <w:rPr>
          <w:rFonts w:ascii="Times New Roman" w:hAnsi="Times New Roman"/>
          <w:sz w:val="24"/>
        </w:rPr>
        <w:t>1</w:t>
      </w:r>
      <w:r w:rsidRPr="00525193">
        <w:rPr>
          <w:rFonts w:ascii="Times New Roman" w:hAnsi="Times New Roman"/>
          <w:sz w:val="24"/>
          <w:vertAlign w:val="superscript"/>
        </w:rPr>
        <w:t>o</w:t>
      </w:r>
      <w:r w:rsidR="00557167">
        <w:rPr>
          <w:rFonts w:ascii="Times New Roman" w:hAnsi="Times New Roman"/>
          <w:sz w:val="24"/>
        </w:rPr>
        <w:t>.</w:t>
      </w:r>
      <w:r w:rsidR="00CF282F" w:rsidRPr="00CF282F">
        <w:rPr>
          <w:rFonts w:ascii="Times New Roman" w:hAnsi="Times New Roman"/>
          <w:sz w:val="24"/>
        </w:rPr>
        <w:t xml:space="preserve"> </w:t>
      </w:r>
      <w:r w:rsidR="00557167" w:rsidRPr="00CF282F">
        <w:rPr>
          <w:rFonts w:ascii="Times New Roman" w:hAnsi="Times New Roman"/>
          <w:sz w:val="24"/>
        </w:rPr>
        <w:t xml:space="preserve">dat </w:t>
      </w:r>
      <w:r w:rsidR="00CF282F" w:rsidRPr="00CF282F">
        <w:rPr>
          <w:rFonts w:ascii="Times New Roman" w:hAnsi="Times New Roman"/>
          <w:sz w:val="24"/>
        </w:rPr>
        <w:t xml:space="preserve">bij wet voorzien is, </w:t>
      </w:r>
    </w:p>
    <w:p w:rsidR="00557167" w:rsidRDefault="00525193" w:rsidP="00CF282F">
      <w:pPr>
        <w:rPr>
          <w:rFonts w:ascii="Times New Roman" w:hAnsi="Times New Roman"/>
          <w:sz w:val="24"/>
        </w:rPr>
      </w:pPr>
      <w:r>
        <w:rPr>
          <w:rFonts w:ascii="Times New Roman" w:hAnsi="Times New Roman"/>
          <w:sz w:val="24"/>
        </w:rPr>
        <w:t>2</w:t>
      </w:r>
      <w:r w:rsidRPr="00525193">
        <w:rPr>
          <w:rFonts w:ascii="Times New Roman" w:hAnsi="Times New Roman"/>
          <w:sz w:val="24"/>
          <w:vertAlign w:val="superscript"/>
        </w:rPr>
        <w:t>o</w:t>
      </w:r>
      <w:r w:rsidR="00557167">
        <w:rPr>
          <w:rFonts w:ascii="Times New Roman" w:hAnsi="Times New Roman"/>
          <w:sz w:val="24"/>
        </w:rPr>
        <w:t>.</w:t>
      </w:r>
      <w:r w:rsidR="00CF282F" w:rsidRPr="00CF282F">
        <w:rPr>
          <w:rFonts w:ascii="Times New Roman" w:hAnsi="Times New Roman"/>
          <w:sz w:val="24"/>
        </w:rPr>
        <w:t xml:space="preserve"> </w:t>
      </w:r>
      <w:r w:rsidR="00557167" w:rsidRPr="00CF282F">
        <w:rPr>
          <w:rFonts w:ascii="Times New Roman" w:hAnsi="Times New Roman"/>
          <w:sz w:val="24"/>
        </w:rPr>
        <w:t xml:space="preserve">de beperking </w:t>
      </w:r>
      <w:r w:rsidR="00557167">
        <w:rPr>
          <w:rFonts w:ascii="Times New Roman" w:hAnsi="Times New Roman"/>
          <w:sz w:val="24"/>
        </w:rPr>
        <w:t xml:space="preserve"> </w:t>
      </w:r>
      <w:r w:rsidR="00557167" w:rsidRPr="00CF282F">
        <w:rPr>
          <w:rFonts w:ascii="Times New Roman" w:hAnsi="Times New Roman"/>
          <w:sz w:val="24"/>
        </w:rPr>
        <w:t>in een democratisc</w:t>
      </w:r>
      <w:r w:rsidR="00557167">
        <w:rPr>
          <w:rFonts w:ascii="Times New Roman" w:hAnsi="Times New Roman"/>
          <w:sz w:val="24"/>
        </w:rPr>
        <w:t>he samenleving noodzakelijk is en</w:t>
      </w:r>
    </w:p>
    <w:p w:rsidR="00557167" w:rsidRDefault="00525193" w:rsidP="00CF282F">
      <w:pPr>
        <w:rPr>
          <w:rFonts w:ascii="Times New Roman" w:hAnsi="Times New Roman"/>
          <w:sz w:val="24"/>
        </w:rPr>
      </w:pPr>
      <w:r>
        <w:rPr>
          <w:rFonts w:ascii="Times New Roman" w:hAnsi="Times New Roman"/>
          <w:sz w:val="24"/>
        </w:rPr>
        <w:t>3</w:t>
      </w:r>
      <w:r w:rsidRPr="00525193">
        <w:rPr>
          <w:rFonts w:ascii="Times New Roman" w:hAnsi="Times New Roman"/>
          <w:sz w:val="24"/>
          <w:vertAlign w:val="superscript"/>
        </w:rPr>
        <w:t>o</w:t>
      </w:r>
      <w:r w:rsidR="00557167">
        <w:rPr>
          <w:rFonts w:ascii="Times New Roman" w:hAnsi="Times New Roman"/>
          <w:sz w:val="24"/>
        </w:rPr>
        <w:t>.</w:t>
      </w:r>
      <w:r w:rsidR="00CF282F" w:rsidRPr="00CF282F">
        <w:rPr>
          <w:rFonts w:ascii="Times New Roman" w:hAnsi="Times New Roman"/>
          <w:sz w:val="24"/>
        </w:rPr>
        <w:t xml:space="preserve"> </w:t>
      </w:r>
      <w:r w:rsidR="00557167" w:rsidRPr="00CF282F">
        <w:rPr>
          <w:rFonts w:ascii="Times New Roman" w:hAnsi="Times New Roman"/>
          <w:sz w:val="24"/>
        </w:rPr>
        <w:t>de beperking strekt tot borging van een van de in het artikel opge</w:t>
      </w:r>
      <w:r w:rsidR="00557167">
        <w:rPr>
          <w:rFonts w:ascii="Times New Roman" w:hAnsi="Times New Roman"/>
          <w:sz w:val="24"/>
        </w:rPr>
        <w:t>somde</w:t>
      </w:r>
      <w:r w:rsidR="00557167" w:rsidRPr="00CF282F">
        <w:rPr>
          <w:rFonts w:ascii="Times New Roman" w:hAnsi="Times New Roman"/>
          <w:sz w:val="24"/>
        </w:rPr>
        <w:t xml:space="preserve"> belangen</w:t>
      </w:r>
      <w:r w:rsidR="00557167">
        <w:rPr>
          <w:rFonts w:ascii="Times New Roman" w:hAnsi="Times New Roman"/>
          <w:sz w:val="24"/>
        </w:rPr>
        <w:t>.</w:t>
      </w:r>
    </w:p>
    <w:p w:rsidR="00525193" w:rsidRDefault="00CF282F" w:rsidP="00CF282F">
      <w:pPr>
        <w:rPr>
          <w:rFonts w:ascii="Times New Roman" w:hAnsi="Times New Roman"/>
          <w:sz w:val="24"/>
        </w:rPr>
      </w:pPr>
      <w:r w:rsidRPr="00CF282F">
        <w:rPr>
          <w:rFonts w:ascii="Times New Roman" w:hAnsi="Times New Roman"/>
          <w:sz w:val="24"/>
        </w:rPr>
        <w:t>Da</w:t>
      </w:r>
      <w:r w:rsidR="00221D19">
        <w:rPr>
          <w:rFonts w:ascii="Times New Roman" w:hAnsi="Times New Roman"/>
          <w:sz w:val="24"/>
        </w:rPr>
        <w:t>arbij g</w:t>
      </w:r>
      <w:r w:rsidRPr="00CF282F">
        <w:rPr>
          <w:rFonts w:ascii="Times New Roman" w:hAnsi="Times New Roman"/>
          <w:sz w:val="24"/>
        </w:rPr>
        <w:t xml:space="preserve">aat het onder andere om de nationale veiligheid en territoriale integriteit, </w:t>
      </w:r>
      <w:r w:rsidR="00221D19">
        <w:rPr>
          <w:rFonts w:ascii="Times New Roman" w:hAnsi="Times New Roman"/>
          <w:sz w:val="24"/>
        </w:rPr>
        <w:t xml:space="preserve">en </w:t>
      </w:r>
      <w:r w:rsidRPr="00CF282F">
        <w:rPr>
          <w:rFonts w:ascii="Times New Roman" w:hAnsi="Times New Roman"/>
          <w:sz w:val="24"/>
        </w:rPr>
        <w:t xml:space="preserve">om de bescherming van de goede naam of de rechten van anderen. </w:t>
      </w:r>
    </w:p>
    <w:p w:rsidR="00525193" w:rsidRDefault="00525193" w:rsidP="00CF282F">
      <w:pPr>
        <w:rPr>
          <w:rFonts w:ascii="Times New Roman" w:hAnsi="Times New Roman"/>
          <w:sz w:val="24"/>
        </w:rPr>
      </w:pPr>
    </w:p>
    <w:p w:rsidR="00525193" w:rsidRDefault="00CF282F" w:rsidP="00CF282F">
      <w:pPr>
        <w:rPr>
          <w:rFonts w:ascii="Times New Roman" w:hAnsi="Times New Roman"/>
          <w:sz w:val="24"/>
        </w:rPr>
      </w:pPr>
      <w:r w:rsidRPr="00CF282F">
        <w:rPr>
          <w:rFonts w:ascii="Times New Roman" w:hAnsi="Times New Roman"/>
          <w:sz w:val="24"/>
        </w:rPr>
        <w:t xml:space="preserve">Uit de jurisprudentie van het EHRM blijkt dat </w:t>
      </w:r>
      <w:r w:rsidR="00525193">
        <w:rPr>
          <w:rFonts w:ascii="Times New Roman" w:hAnsi="Times New Roman"/>
          <w:sz w:val="24"/>
        </w:rPr>
        <w:t>d</w:t>
      </w:r>
      <w:r w:rsidR="00525193" w:rsidRPr="00CF282F">
        <w:rPr>
          <w:rFonts w:ascii="Times New Roman" w:hAnsi="Times New Roman"/>
          <w:sz w:val="24"/>
        </w:rPr>
        <w:t xml:space="preserve">e vrijheid van meningsuiting niet alleen betrekking heeft op uitingen die gunstig worden ontvangen, maar ook op uitlatingen die kwetsen, choqueren of verontrusten. Zonder pluriformiteit, tolerantie en ruimdenkendheid kan een democratische samenleving </w:t>
      </w:r>
      <w:r w:rsidR="00525193">
        <w:rPr>
          <w:rFonts w:ascii="Times New Roman" w:hAnsi="Times New Roman"/>
          <w:sz w:val="24"/>
        </w:rPr>
        <w:t xml:space="preserve">immers </w:t>
      </w:r>
      <w:r w:rsidR="00525193" w:rsidRPr="00CF282F">
        <w:rPr>
          <w:rFonts w:ascii="Times New Roman" w:hAnsi="Times New Roman"/>
          <w:sz w:val="24"/>
        </w:rPr>
        <w:t>niet bestaan.</w:t>
      </w:r>
      <w:r w:rsidR="00525193" w:rsidRPr="00CF282F">
        <w:rPr>
          <w:rFonts w:ascii="Times New Roman" w:hAnsi="Times New Roman"/>
          <w:sz w:val="24"/>
          <w:vertAlign w:val="superscript"/>
        </w:rPr>
        <w:footnoteReference w:id="13"/>
      </w:r>
    </w:p>
    <w:p w:rsidR="00F56788" w:rsidRDefault="00F56788" w:rsidP="00CF282F">
      <w:pPr>
        <w:rPr>
          <w:rFonts w:ascii="Times New Roman" w:hAnsi="Times New Roman"/>
          <w:sz w:val="24"/>
        </w:rPr>
      </w:pPr>
    </w:p>
    <w:p w:rsidR="00F56788" w:rsidRDefault="00F56788" w:rsidP="00F56788">
      <w:pPr>
        <w:rPr>
          <w:rFonts w:ascii="Times New Roman" w:hAnsi="Times New Roman"/>
          <w:sz w:val="24"/>
        </w:rPr>
      </w:pPr>
      <w:r>
        <w:rPr>
          <w:rFonts w:ascii="Times New Roman" w:hAnsi="Times New Roman"/>
          <w:sz w:val="24"/>
        </w:rPr>
        <w:t xml:space="preserve">Ook is het </w:t>
      </w:r>
      <w:r w:rsidRPr="00F56788">
        <w:rPr>
          <w:rFonts w:ascii="Times New Roman" w:hAnsi="Times New Roman"/>
          <w:sz w:val="24"/>
        </w:rPr>
        <w:t>vaste jurisprudentie van het EHRM</w:t>
      </w:r>
      <w:r>
        <w:rPr>
          <w:rFonts w:ascii="Times New Roman" w:hAnsi="Times New Roman"/>
          <w:sz w:val="24"/>
        </w:rPr>
        <w:t xml:space="preserve"> dat p</w:t>
      </w:r>
      <w:r w:rsidRPr="00F56788">
        <w:rPr>
          <w:rFonts w:ascii="Times New Roman" w:hAnsi="Times New Roman"/>
          <w:sz w:val="24"/>
        </w:rPr>
        <w:t xml:space="preserve">ublieke personen zich in het algemeen meer moeten laten welgevallen dan een willekeurig privépersoon. Dit kwam onder andere naar voren in </w:t>
      </w:r>
      <w:r w:rsidRPr="00F56788">
        <w:rPr>
          <w:rFonts w:ascii="Times New Roman" w:hAnsi="Times New Roman"/>
          <w:i/>
          <w:sz w:val="24"/>
        </w:rPr>
        <w:t xml:space="preserve">Lingens </w:t>
      </w:r>
      <w:r>
        <w:rPr>
          <w:rFonts w:ascii="Times New Roman" w:hAnsi="Times New Roman"/>
          <w:i/>
          <w:sz w:val="24"/>
        </w:rPr>
        <w:t xml:space="preserve">tegen </w:t>
      </w:r>
      <w:r w:rsidRPr="00F56788">
        <w:rPr>
          <w:rFonts w:ascii="Times New Roman" w:hAnsi="Times New Roman"/>
          <w:i/>
          <w:sz w:val="24"/>
        </w:rPr>
        <w:t>Oostenrijk</w:t>
      </w:r>
      <w:r w:rsidR="00221D19">
        <w:rPr>
          <w:rFonts w:ascii="Times New Roman" w:hAnsi="Times New Roman"/>
          <w:sz w:val="24"/>
        </w:rPr>
        <w:t xml:space="preserve">. </w:t>
      </w:r>
      <w:r w:rsidRPr="00F56788">
        <w:rPr>
          <w:rFonts w:ascii="Times New Roman" w:hAnsi="Times New Roman"/>
          <w:sz w:val="24"/>
        </w:rPr>
        <w:t xml:space="preserve">Het EHRM beoordeelde uitlatingen over de Oostenrijkse kanselier die als aantasting van zijn persoon gezien werden, waarna het de vraag was of dat binnen de reikwijdte van de persvrijheid in relatie tot het politieke debat viel of daarbuiten. De persvrijheid is volgens het EHRM het beste middel voor het publiek om hun mening te vormen over politieke leiders. De vrijheid van het politieke debat is de essentie </w:t>
      </w:r>
      <w:r w:rsidRPr="00A903A9">
        <w:rPr>
          <w:rFonts w:ascii="Times New Roman" w:hAnsi="Times New Roman"/>
          <w:i/>
          <w:sz w:val="24"/>
        </w:rPr>
        <w:t>(‘at the very core’</w:t>
      </w:r>
      <w:r w:rsidRPr="00F56788">
        <w:rPr>
          <w:rFonts w:ascii="Times New Roman" w:hAnsi="Times New Roman"/>
          <w:sz w:val="24"/>
        </w:rPr>
        <w:t>) van het concept van een democratische samenleving. Een politicus moet meer tolerantie opbrengen voor kritiek dan een privépersoon. De grenzen van aanvaardbare kritiek zijn dan ook ruimer ten aanzien van de eerste groep. Hoewel een politicus ook recht heeft op de bescherming van zijn reputatie, moet deze bescherming worden afgewogen tegen de belangen van een open discussie over politieke aangelegenheden.</w:t>
      </w:r>
      <w:r w:rsidRPr="00F56788">
        <w:rPr>
          <w:rFonts w:ascii="Times New Roman" w:hAnsi="Times New Roman"/>
          <w:sz w:val="24"/>
          <w:vertAlign w:val="superscript"/>
        </w:rPr>
        <w:footnoteReference w:id="14"/>
      </w:r>
      <w:r w:rsidRPr="00F56788">
        <w:rPr>
          <w:rFonts w:ascii="Times New Roman" w:hAnsi="Times New Roman"/>
          <w:sz w:val="24"/>
        </w:rPr>
        <w:t xml:space="preserve"> </w:t>
      </w:r>
    </w:p>
    <w:p w:rsidR="00F56788" w:rsidRDefault="00F56788" w:rsidP="00F56788">
      <w:pPr>
        <w:rPr>
          <w:rFonts w:ascii="Times New Roman" w:hAnsi="Times New Roman"/>
          <w:sz w:val="24"/>
        </w:rPr>
      </w:pPr>
    </w:p>
    <w:p w:rsidR="00F56788" w:rsidRDefault="00F56788" w:rsidP="00F56788">
      <w:pPr>
        <w:rPr>
          <w:rFonts w:ascii="Times New Roman" w:hAnsi="Times New Roman"/>
          <w:sz w:val="24"/>
        </w:rPr>
      </w:pPr>
      <w:r w:rsidRPr="00F56788">
        <w:rPr>
          <w:rFonts w:ascii="Times New Roman" w:hAnsi="Times New Roman"/>
          <w:sz w:val="24"/>
        </w:rPr>
        <w:t xml:space="preserve">In </w:t>
      </w:r>
      <w:r w:rsidRPr="00F56788">
        <w:rPr>
          <w:rFonts w:ascii="Times New Roman" w:hAnsi="Times New Roman"/>
          <w:i/>
          <w:sz w:val="24"/>
        </w:rPr>
        <w:t>Oberschlick I</w:t>
      </w:r>
      <w:r w:rsidRPr="00F56788">
        <w:rPr>
          <w:rFonts w:ascii="Times New Roman" w:hAnsi="Times New Roman"/>
          <w:sz w:val="24"/>
        </w:rPr>
        <w:t xml:space="preserve"> en </w:t>
      </w:r>
      <w:r w:rsidRPr="00F56788">
        <w:rPr>
          <w:rFonts w:ascii="Times New Roman" w:hAnsi="Times New Roman"/>
          <w:i/>
          <w:sz w:val="24"/>
        </w:rPr>
        <w:t xml:space="preserve">Oberschlick II </w:t>
      </w:r>
      <w:r w:rsidRPr="00F56788">
        <w:rPr>
          <w:rFonts w:ascii="Times New Roman" w:hAnsi="Times New Roman"/>
          <w:sz w:val="24"/>
        </w:rPr>
        <w:t>bevestigt het EHRM dat politici en gezagdragers meer kritiek moeten kunnen verdragen dan gewone burgers.</w:t>
      </w:r>
      <w:r w:rsidRPr="00F56788">
        <w:rPr>
          <w:rFonts w:ascii="Times New Roman" w:hAnsi="Times New Roman"/>
          <w:sz w:val="24"/>
          <w:vertAlign w:val="superscript"/>
        </w:rPr>
        <w:footnoteReference w:id="15"/>
      </w:r>
      <w:r w:rsidRPr="00F56788">
        <w:rPr>
          <w:rFonts w:ascii="Times New Roman" w:hAnsi="Times New Roman"/>
          <w:sz w:val="24"/>
        </w:rPr>
        <w:t xml:space="preserve"> </w:t>
      </w:r>
    </w:p>
    <w:p w:rsidR="00F56788" w:rsidRPr="00F56788" w:rsidRDefault="00F56788" w:rsidP="00F56788">
      <w:pPr>
        <w:rPr>
          <w:rFonts w:ascii="Times New Roman" w:hAnsi="Times New Roman"/>
          <w:sz w:val="24"/>
        </w:rPr>
      </w:pPr>
      <w:r w:rsidRPr="00F56788">
        <w:rPr>
          <w:rFonts w:ascii="Times New Roman" w:hAnsi="Times New Roman"/>
          <w:sz w:val="24"/>
        </w:rPr>
        <w:t xml:space="preserve">Ook staatshoofden vallen onder deze regel, zo bevestigde het EHRM in de zaak </w:t>
      </w:r>
      <w:r w:rsidRPr="00F56788">
        <w:rPr>
          <w:rFonts w:ascii="Times New Roman" w:hAnsi="Times New Roman"/>
          <w:i/>
          <w:sz w:val="24"/>
        </w:rPr>
        <w:t xml:space="preserve">Artun en Guvener t. Turkije </w:t>
      </w:r>
      <w:r w:rsidRPr="00F56788">
        <w:rPr>
          <w:rFonts w:ascii="Times New Roman" w:hAnsi="Times New Roman"/>
          <w:sz w:val="24"/>
        </w:rPr>
        <w:t>(r.o. 51).</w:t>
      </w:r>
      <w:r w:rsidRPr="00F56788">
        <w:rPr>
          <w:rFonts w:ascii="Times New Roman" w:hAnsi="Times New Roman"/>
          <w:sz w:val="24"/>
          <w:vertAlign w:val="superscript"/>
        </w:rPr>
        <w:footnoteReference w:id="16"/>
      </w:r>
    </w:p>
    <w:p w:rsidR="00525193" w:rsidRDefault="00525193" w:rsidP="00CF282F">
      <w:pPr>
        <w:rPr>
          <w:rFonts w:ascii="Times New Roman" w:hAnsi="Times New Roman"/>
          <w:sz w:val="24"/>
        </w:rPr>
      </w:pPr>
    </w:p>
    <w:p w:rsidR="00CF282F" w:rsidRPr="00CF282F" w:rsidRDefault="0021315C" w:rsidP="00CF282F">
      <w:pPr>
        <w:rPr>
          <w:rFonts w:ascii="Times New Roman" w:hAnsi="Times New Roman"/>
          <w:sz w:val="24"/>
        </w:rPr>
      </w:pPr>
      <w:r>
        <w:rPr>
          <w:rFonts w:ascii="Times New Roman" w:hAnsi="Times New Roman"/>
          <w:sz w:val="24"/>
        </w:rPr>
        <w:t xml:space="preserve">Dat wordt, zo blijkt uit de </w:t>
      </w:r>
      <w:r w:rsidRPr="00CF282F">
        <w:rPr>
          <w:rFonts w:ascii="Times New Roman" w:hAnsi="Times New Roman"/>
          <w:sz w:val="24"/>
        </w:rPr>
        <w:t xml:space="preserve">zaak </w:t>
      </w:r>
      <w:r w:rsidRPr="00CF282F">
        <w:rPr>
          <w:rFonts w:ascii="Times New Roman" w:hAnsi="Times New Roman"/>
          <w:i/>
          <w:sz w:val="24"/>
        </w:rPr>
        <w:t>Colombani t</w:t>
      </w:r>
      <w:r>
        <w:rPr>
          <w:rFonts w:ascii="Times New Roman" w:hAnsi="Times New Roman"/>
          <w:i/>
          <w:sz w:val="24"/>
        </w:rPr>
        <w:t>egen</w:t>
      </w:r>
      <w:r w:rsidRPr="00CF282F">
        <w:rPr>
          <w:rFonts w:ascii="Times New Roman" w:hAnsi="Times New Roman"/>
          <w:i/>
          <w:sz w:val="24"/>
        </w:rPr>
        <w:t xml:space="preserve"> Frankrijk</w:t>
      </w:r>
      <w:r>
        <w:rPr>
          <w:rFonts w:ascii="Times New Roman" w:hAnsi="Times New Roman"/>
          <w:sz w:val="24"/>
        </w:rPr>
        <w:t xml:space="preserve">, niet anders als het gaat om een staatshoofd dat zijn positie te danken heeft aan erfopvolging. In deze zaak </w:t>
      </w:r>
      <w:r w:rsidR="00CF282F" w:rsidRPr="00CF282F">
        <w:rPr>
          <w:rFonts w:ascii="Times New Roman" w:hAnsi="Times New Roman"/>
          <w:sz w:val="24"/>
        </w:rPr>
        <w:t xml:space="preserve">stond de vraag centraal of de veroordeling van twee journalisten van </w:t>
      </w:r>
      <w:r w:rsidR="00CF282F" w:rsidRPr="00CF282F">
        <w:rPr>
          <w:rFonts w:ascii="Times New Roman" w:hAnsi="Times New Roman"/>
          <w:i/>
          <w:sz w:val="24"/>
        </w:rPr>
        <w:t xml:space="preserve">Le Monde </w:t>
      </w:r>
      <w:r w:rsidR="00CF282F" w:rsidRPr="00CF282F">
        <w:rPr>
          <w:rFonts w:ascii="Times New Roman" w:hAnsi="Times New Roman"/>
          <w:sz w:val="24"/>
        </w:rPr>
        <w:t>voor de belediging van de Marokkaanse koning terecht was. Daarbij kwam het EHRM tot het oordeel dat een bijzondere wettelijke status voor staatshoofden</w:t>
      </w:r>
      <w:r>
        <w:rPr>
          <w:rFonts w:ascii="Times New Roman" w:hAnsi="Times New Roman"/>
          <w:sz w:val="24"/>
        </w:rPr>
        <w:t>,</w:t>
      </w:r>
      <w:r w:rsidR="00CF282F" w:rsidRPr="00CF282F">
        <w:rPr>
          <w:rFonts w:ascii="Times New Roman" w:hAnsi="Times New Roman"/>
          <w:sz w:val="24"/>
        </w:rPr>
        <w:t xml:space="preserve"> die hen puur op grond van hun functie of status beschermt tegen kritiek </w:t>
      </w:r>
      <w:r w:rsidR="00221D19">
        <w:rPr>
          <w:rFonts w:ascii="Times New Roman" w:hAnsi="Times New Roman"/>
          <w:sz w:val="24"/>
        </w:rPr>
        <w:t xml:space="preserve">en </w:t>
      </w:r>
      <w:r w:rsidR="00CF282F" w:rsidRPr="00CF282F">
        <w:rPr>
          <w:rFonts w:ascii="Times New Roman" w:hAnsi="Times New Roman"/>
          <w:sz w:val="24"/>
        </w:rPr>
        <w:t>aan hen een privilege verleent</w:t>
      </w:r>
      <w:r>
        <w:rPr>
          <w:rFonts w:ascii="Times New Roman" w:hAnsi="Times New Roman"/>
          <w:sz w:val="24"/>
        </w:rPr>
        <w:t xml:space="preserve">, </w:t>
      </w:r>
      <w:r w:rsidR="00CF282F" w:rsidRPr="00CF282F">
        <w:rPr>
          <w:rFonts w:ascii="Times New Roman" w:hAnsi="Times New Roman"/>
          <w:sz w:val="24"/>
        </w:rPr>
        <w:t xml:space="preserve">niet in overeenstemming is met moderne praktijken en politieke opvattingen </w:t>
      </w:r>
      <w:r w:rsidR="00CF282F" w:rsidRPr="00CF282F">
        <w:rPr>
          <w:rFonts w:ascii="Times New Roman" w:hAnsi="Times New Roman"/>
          <w:i/>
          <w:sz w:val="24"/>
        </w:rPr>
        <w:t>(</w:t>
      </w:r>
      <w:r w:rsidR="00F56788">
        <w:rPr>
          <w:rFonts w:ascii="Times New Roman" w:hAnsi="Times New Roman"/>
          <w:i/>
          <w:sz w:val="24"/>
        </w:rPr>
        <w:t>“</w:t>
      </w:r>
      <w:r w:rsidR="00CF282F" w:rsidRPr="00CF282F">
        <w:rPr>
          <w:rFonts w:ascii="Times New Roman" w:hAnsi="Times New Roman"/>
          <w:i/>
          <w:sz w:val="24"/>
        </w:rPr>
        <w:t>modern practice and political conceptions</w:t>
      </w:r>
      <w:r w:rsidR="00F56788">
        <w:rPr>
          <w:rFonts w:ascii="Times New Roman" w:hAnsi="Times New Roman"/>
          <w:i/>
          <w:sz w:val="24"/>
        </w:rPr>
        <w:t>”</w:t>
      </w:r>
      <w:r w:rsidR="00CF282F" w:rsidRPr="00CF282F">
        <w:rPr>
          <w:rFonts w:ascii="Times New Roman" w:hAnsi="Times New Roman"/>
          <w:i/>
          <w:sz w:val="24"/>
        </w:rPr>
        <w:t>)</w:t>
      </w:r>
      <w:r w:rsidR="00CF282F" w:rsidRPr="00CF282F">
        <w:rPr>
          <w:rFonts w:ascii="Times New Roman" w:hAnsi="Times New Roman"/>
          <w:sz w:val="24"/>
        </w:rPr>
        <w:t xml:space="preserve">. Er bestaat dan ook geen dringende maatschappelijke behoefte </w:t>
      </w:r>
      <w:r w:rsidR="00CF282F" w:rsidRPr="00CF282F">
        <w:rPr>
          <w:rFonts w:ascii="Times New Roman" w:hAnsi="Times New Roman"/>
          <w:i/>
          <w:sz w:val="24"/>
        </w:rPr>
        <w:t>(</w:t>
      </w:r>
      <w:r w:rsidR="00F56788">
        <w:rPr>
          <w:rFonts w:ascii="Times New Roman" w:hAnsi="Times New Roman"/>
          <w:i/>
          <w:sz w:val="24"/>
        </w:rPr>
        <w:t>“</w:t>
      </w:r>
      <w:r w:rsidR="00CF282F" w:rsidRPr="00CF282F">
        <w:rPr>
          <w:rFonts w:ascii="Times New Roman" w:hAnsi="Times New Roman"/>
          <w:i/>
          <w:sz w:val="24"/>
        </w:rPr>
        <w:t>pressing social need</w:t>
      </w:r>
      <w:r w:rsidR="00F56788">
        <w:rPr>
          <w:rFonts w:ascii="Times New Roman" w:hAnsi="Times New Roman"/>
          <w:i/>
          <w:sz w:val="24"/>
        </w:rPr>
        <w:t>”</w:t>
      </w:r>
      <w:r w:rsidR="00CF282F" w:rsidRPr="00CF282F">
        <w:rPr>
          <w:rFonts w:ascii="Times New Roman" w:hAnsi="Times New Roman"/>
          <w:i/>
          <w:sz w:val="24"/>
        </w:rPr>
        <w:t xml:space="preserve">) </w:t>
      </w:r>
      <w:r w:rsidR="00CF282F" w:rsidRPr="00CF282F">
        <w:rPr>
          <w:rFonts w:ascii="Times New Roman" w:hAnsi="Times New Roman"/>
          <w:sz w:val="24"/>
        </w:rPr>
        <w:t xml:space="preserve">om op </w:t>
      </w:r>
      <w:r w:rsidR="00CF282F" w:rsidRPr="00CF282F">
        <w:rPr>
          <w:rFonts w:ascii="Times New Roman" w:hAnsi="Times New Roman"/>
          <w:sz w:val="24"/>
        </w:rPr>
        <w:lastRenderedPageBreak/>
        <w:t>deze grond de vrijheid van meningsuiting te beperken. Bevriende staatshoofden kunnen immers gewoon de normale procedures, die een ieder ter beschikking staan, gebruiken in het geval hun reputatie of eer in het geding is, zo sluit het EHRM af.</w:t>
      </w:r>
      <w:r w:rsidR="00525193" w:rsidRPr="00CF282F">
        <w:rPr>
          <w:rFonts w:ascii="Times New Roman" w:hAnsi="Times New Roman"/>
          <w:sz w:val="24"/>
          <w:vertAlign w:val="superscript"/>
        </w:rPr>
        <w:footnoteReference w:id="17"/>
      </w:r>
    </w:p>
    <w:p w:rsidR="00CF282F" w:rsidRPr="00CF282F" w:rsidRDefault="00CF282F" w:rsidP="00CF282F">
      <w:pPr>
        <w:rPr>
          <w:rFonts w:ascii="Times New Roman" w:hAnsi="Times New Roman"/>
          <w:sz w:val="24"/>
        </w:rPr>
      </w:pPr>
    </w:p>
    <w:p w:rsidR="00CF282F" w:rsidRPr="00CF282F" w:rsidRDefault="00CF282F" w:rsidP="00CF282F">
      <w:pPr>
        <w:rPr>
          <w:rFonts w:ascii="Times New Roman" w:hAnsi="Times New Roman"/>
          <w:sz w:val="24"/>
        </w:rPr>
      </w:pPr>
      <w:r w:rsidRPr="00CF282F">
        <w:rPr>
          <w:rFonts w:ascii="Times New Roman" w:hAnsi="Times New Roman"/>
          <w:sz w:val="24"/>
        </w:rPr>
        <w:t xml:space="preserve">Recenter, in 2011, oordeelde het EHRM in de zaak </w:t>
      </w:r>
      <w:r w:rsidRPr="00CF282F">
        <w:rPr>
          <w:rFonts w:ascii="Times New Roman" w:hAnsi="Times New Roman"/>
          <w:i/>
          <w:sz w:val="24"/>
        </w:rPr>
        <w:t xml:space="preserve">Otegi Mondragon </w:t>
      </w:r>
      <w:r w:rsidR="00525193" w:rsidRPr="00F56788">
        <w:rPr>
          <w:rFonts w:ascii="Times New Roman" w:hAnsi="Times New Roman"/>
          <w:i/>
          <w:sz w:val="24"/>
        </w:rPr>
        <w:t>tegen</w:t>
      </w:r>
      <w:r w:rsidRPr="00F56788">
        <w:rPr>
          <w:rFonts w:ascii="Times New Roman" w:hAnsi="Times New Roman"/>
          <w:i/>
          <w:sz w:val="24"/>
        </w:rPr>
        <w:t xml:space="preserve"> Spanje</w:t>
      </w:r>
      <w:r w:rsidR="00525193">
        <w:rPr>
          <w:rFonts w:ascii="Times New Roman" w:hAnsi="Times New Roman"/>
          <w:sz w:val="24"/>
        </w:rPr>
        <w:t>.</w:t>
      </w:r>
      <w:r w:rsidRPr="00CF282F">
        <w:rPr>
          <w:rFonts w:ascii="Times New Roman" w:hAnsi="Times New Roman"/>
          <w:i/>
          <w:sz w:val="24"/>
        </w:rPr>
        <w:t xml:space="preserve"> </w:t>
      </w:r>
      <w:r w:rsidRPr="00CF282F">
        <w:rPr>
          <w:rFonts w:ascii="Times New Roman" w:hAnsi="Times New Roman"/>
          <w:sz w:val="24"/>
        </w:rPr>
        <w:t xml:space="preserve">Daarbij ging het om een politicus van een regionale Baskische partij die tijdens een persconferentie uitlatingen deed ten aanzien van de </w:t>
      </w:r>
      <w:r w:rsidR="00525193">
        <w:rPr>
          <w:rFonts w:ascii="Times New Roman" w:hAnsi="Times New Roman"/>
          <w:sz w:val="24"/>
        </w:rPr>
        <w:t>Spaanse k</w:t>
      </w:r>
      <w:r w:rsidRPr="00CF282F">
        <w:rPr>
          <w:rFonts w:ascii="Times New Roman" w:hAnsi="Times New Roman"/>
          <w:sz w:val="24"/>
        </w:rPr>
        <w:t>oning</w:t>
      </w:r>
      <w:r w:rsidR="000535AD">
        <w:rPr>
          <w:rFonts w:ascii="Times New Roman" w:hAnsi="Times New Roman"/>
          <w:sz w:val="24"/>
        </w:rPr>
        <w:t>,</w:t>
      </w:r>
      <w:r w:rsidRPr="00CF282F">
        <w:rPr>
          <w:rFonts w:ascii="Times New Roman" w:hAnsi="Times New Roman"/>
          <w:sz w:val="24"/>
        </w:rPr>
        <w:t xml:space="preserve"> die door de aanklager als beledigend </w:t>
      </w:r>
      <w:r w:rsidR="000535AD" w:rsidRPr="00CF282F">
        <w:rPr>
          <w:rFonts w:ascii="Times New Roman" w:hAnsi="Times New Roman"/>
          <w:sz w:val="24"/>
        </w:rPr>
        <w:t xml:space="preserve">werden </w:t>
      </w:r>
      <w:r w:rsidRPr="00CF282F">
        <w:rPr>
          <w:rFonts w:ascii="Times New Roman" w:hAnsi="Times New Roman"/>
          <w:sz w:val="24"/>
        </w:rPr>
        <w:t xml:space="preserve">gezien. Hij werd veroordeeld tot één jaar gevangenisstraf wegens majesteitsschennis en gedurende die tijd werd hem het kiesrecht ontzegd, al werd uitvoering van de straf uitgesteld. In de beoordeling van deze zaak kwam het EHRM tot een aantal overwegingen die ook hier van belang zijn. Het Hof herhaalde en bekrachtigde de </w:t>
      </w:r>
      <w:r w:rsidR="00DE568C">
        <w:rPr>
          <w:rFonts w:ascii="Times New Roman" w:hAnsi="Times New Roman"/>
          <w:sz w:val="24"/>
        </w:rPr>
        <w:t xml:space="preserve">lijn in de </w:t>
      </w:r>
      <w:r w:rsidRPr="00CF282F">
        <w:rPr>
          <w:rFonts w:ascii="Times New Roman" w:hAnsi="Times New Roman"/>
          <w:sz w:val="24"/>
        </w:rPr>
        <w:t>jurisprudentie dat een delict dat een grotere bescherming aan het staatshoofd geeft in beginsel op gespannen voet staat met het EVRM. Een dergelijke strafbepaling plaatst hen buiten het publieke debat via (“</w:t>
      </w:r>
      <w:r w:rsidRPr="00CF282F">
        <w:rPr>
          <w:rFonts w:ascii="Times New Roman" w:hAnsi="Times New Roman"/>
          <w:i/>
          <w:sz w:val="24"/>
        </w:rPr>
        <w:t>un privilège exorbitant … qui ne pouvait se concilier avec la practique et les conceptions d’aujourd’hui</w:t>
      </w:r>
      <w:r w:rsidRPr="00CF282F">
        <w:rPr>
          <w:rFonts w:ascii="Times New Roman" w:hAnsi="Times New Roman"/>
          <w:sz w:val="24"/>
        </w:rPr>
        <w:t>”). De veroordeling van Otegi Mondragon kon de toets van artikel 10 EVRM niet doorstaan</w:t>
      </w:r>
      <w:r w:rsidR="00525193" w:rsidRPr="00CF282F">
        <w:rPr>
          <w:rFonts w:ascii="Times New Roman" w:hAnsi="Times New Roman"/>
          <w:i/>
          <w:sz w:val="24"/>
        </w:rPr>
        <w:t>.</w:t>
      </w:r>
      <w:r w:rsidR="00525193" w:rsidRPr="0021315C">
        <w:rPr>
          <w:rFonts w:ascii="Times New Roman" w:hAnsi="Times New Roman"/>
          <w:sz w:val="24"/>
          <w:vertAlign w:val="superscript"/>
        </w:rPr>
        <w:footnoteReference w:id="18"/>
      </w:r>
    </w:p>
    <w:p w:rsidR="00CF282F" w:rsidRPr="00CF282F" w:rsidRDefault="00CF282F" w:rsidP="00CF282F">
      <w:pPr>
        <w:rPr>
          <w:rFonts w:ascii="Times New Roman" w:hAnsi="Times New Roman"/>
          <w:sz w:val="24"/>
        </w:rPr>
      </w:pPr>
    </w:p>
    <w:p w:rsidR="00CF282F" w:rsidRDefault="0021315C" w:rsidP="00CF282F">
      <w:pPr>
        <w:rPr>
          <w:rFonts w:ascii="Times New Roman" w:hAnsi="Times New Roman"/>
          <w:sz w:val="24"/>
        </w:rPr>
      </w:pPr>
      <w:r>
        <w:rPr>
          <w:rFonts w:ascii="Times New Roman" w:hAnsi="Times New Roman"/>
          <w:sz w:val="24"/>
        </w:rPr>
        <w:t>U</w:t>
      </w:r>
      <w:r w:rsidR="00F56788" w:rsidRPr="00F56788">
        <w:rPr>
          <w:rFonts w:ascii="Times New Roman" w:hAnsi="Times New Roman"/>
          <w:sz w:val="24"/>
        </w:rPr>
        <w:t>it de jurisprudentie van het EHRM</w:t>
      </w:r>
      <w:r>
        <w:rPr>
          <w:rFonts w:ascii="Times New Roman" w:hAnsi="Times New Roman"/>
          <w:sz w:val="24"/>
        </w:rPr>
        <w:t xml:space="preserve"> kan d</w:t>
      </w:r>
      <w:r w:rsidR="00DE568C">
        <w:rPr>
          <w:rFonts w:ascii="Times New Roman" w:hAnsi="Times New Roman"/>
          <w:sz w:val="24"/>
        </w:rPr>
        <w:t>erhalve</w:t>
      </w:r>
      <w:r>
        <w:rPr>
          <w:rFonts w:ascii="Times New Roman" w:hAnsi="Times New Roman"/>
          <w:sz w:val="24"/>
        </w:rPr>
        <w:t xml:space="preserve"> worden geconcludeerd</w:t>
      </w:r>
      <w:r w:rsidR="00F56788" w:rsidRPr="00F56788">
        <w:rPr>
          <w:rFonts w:ascii="Times New Roman" w:hAnsi="Times New Roman"/>
          <w:sz w:val="24"/>
        </w:rPr>
        <w:t xml:space="preserve"> dat een gevangenisstraf voor majesteitschennis, en überhaupt een bijzondere strafbepaling daarvoor, zich zeer moeizaam </w:t>
      </w:r>
      <w:r w:rsidR="00DE568C">
        <w:rPr>
          <w:rFonts w:ascii="Times New Roman" w:hAnsi="Times New Roman"/>
          <w:sz w:val="24"/>
        </w:rPr>
        <w:t>tot</w:t>
      </w:r>
      <w:r>
        <w:rPr>
          <w:rFonts w:ascii="Times New Roman" w:hAnsi="Times New Roman"/>
          <w:sz w:val="24"/>
        </w:rPr>
        <w:t xml:space="preserve"> artikel 10 EVRM</w:t>
      </w:r>
      <w:r w:rsidR="00F56788" w:rsidRPr="00F56788">
        <w:rPr>
          <w:rFonts w:ascii="Times New Roman" w:hAnsi="Times New Roman"/>
          <w:sz w:val="24"/>
        </w:rPr>
        <w:t xml:space="preserve"> verhoudt. Een dergelijke bescherming is</w:t>
      </w:r>
      <w:r>
        <w:rPr>
          <w:rFonts w:ascii="Times New Roman" w:hAnsi="Times New Roman"/>
          <w:sz w:val="24"/>
        </w:rPr>
        <w:t xml:space="preserve"> in de ogen van het </w:t>
      </w:r>
      <w:r w:rsidR="00F56788" w:rsidRPr="00F56788">
        <w:rPr>
          <w:rFonts w:ascii="Times New Roman" w:hAnsi="Times New Roman"/>
          <w:sz w:val="24"/>
        </w:rPr>
        <w:t>EHRM al snel buitenproportioneel of zonder voldoende grond, en daarmee in strijd met het EVRM.</w:t>
      </w:r>
    </w:p>
    <w:p w:rsidR="0021315C" w:rsidRDefault="0021315C" w:rsidP="00CF282F">
      <w:pPr>
        <w:rPr>
          <w:rFonts w:ascii="Times New Roman" w:hAnsi="Times New Roman"/>
          <w:sz w:val="24"/>
        </w:rPr>
      </w:pPr>
    </w:p>
    <w:p w:rsidR="00341831" w:rsidRDefault="0021315C" w:rsidP="00CF282F">
      <w:pPr>
        <w:rPr>
          <w:rFonts w:ascii="Times New Roman" w:hAnsi="Times New Roman"/>
          <w:sz w:val="24"/>
        </w:rPr>
      </w:pPr>
      <w:r>
        <w:rPr>
          <w:rFonts w:ascii="Times New Roman" w:hAnsi="Times New Roman"/>
          <w:sz w:val="24"/>
        </w:rPr>
        <w:t>D</w:t>
      </w:r>
      <w:r w:rsidRPr="00CF282F">
        <w:rPr>
          <w:rFonts w:ascii="Times New Roman" w:hAnsi="Times New Roman"/>
          <w:sz w:val="24"/>
        </w:rPr>
        <w:t xml:space="preserve">e Parlementaire Vergadering van de Raad van Europa </w:t>
      </w:r>
      <w:r w:rsidR="002517AE">
        <w:rPr>
          <w:rFonts w:ascii="Times New Roman" w:hAnsi="Times New Roman"/>
          <w:sz w:val="24"/>
        </w:rPr>
        <w:t>deed i</w:t>
      </w:r>
      <w:r w:rsidRPr="00CF282F">
        <w:rPr>
          <w:rFonts w:ascii="Times New Roman" w:hAnsi="Times New Roman"/>
          <w:sz w:val="24"/>
        </w:rPr>
        <w:t xml:space="preserve">n 2007 </w:t>
      </w:r>
      <w:r w:rsidR="00DE568C">
        <w:rPr>
          <w:rFonts w:ascii="Times New Roman" w:hAnsi="Times New Roman"/>
          <w:sz w:val="24"/>
        </w:rPr>
        <w:t>een</w:t>
      </w:r>
      <w:r w:rsidR="002517AE">
        <w:rPr>
          <w:rFonts w:ascii="Times New Roman" w:hAnsi="Times New Roman"/>
          <w:sz w:val="24"/>
        </w:rPr>
        <w:t xml:space="preserve"> oproep aan </w:t>
      </w:r>
      <w:r w:rsidR="007D78CF">
        <w:rPr>
          <w:rFonts w:ascii="Times New Roman" w:hAnsi="Times New Roman"/>
          <w:sz w:val="24"/>
        </w:rPr>
        <w:t>de</w:t>
      </w:r>
      <w:r w:rsidR="00DE568C">
        <w:rPr>
          <w:rFonts w:ascii="Times New Roman" w:hAnsi="Times New Roman"/>
          <w:sz w:val="24"/>
        </w:rPr>
        <w:t xml:space="preserve"> </w:t>
      </w:r>
      <w:r w:rsidR="002517AE">
        <w:rPr>
          <w:rFonts w:ascii="Times New Roman" w:hAnsi="Times New Roman"/>
          <w:sz w:val="24"/>
        </w:rPr>
        <w:t>lid</w:t>
      </w:r>
      <w:r w:rsidRPr="00CF282F">
        <w:rPr>
          <w:rFonts w:ascii="Times New Roman" w:hAnsi="Times New Roman"/>
          <w:sz w:val="24"/>
        </w:rPr>
        <w:t xml:space="preserve">staten </w:t>
      </w:r>
      <w:r w:rsidR="002517AE">
        <w:rPr>
          <w:rFonts w:ascii="Times New Roman" w:hAnsi="Times New Roman"/>
          <w:sz w:val="24"/>
        </w:rPr>
        <w:t xml:space="preserve">om </w:t>
      </w:r>
      <w:r w:rsidR="00341831">
        <w:rPr>
          <w:rFonts w:ascii="Times New Roman" w:hAnsi="Times New Roman"/>
          <w:sz w:val="24"/>
        </w:rPr>
        <w:t xml:space="preserve">hun wetten in overeenstemming te brengen met de jurisprudentie van het EHRM en </w:t>
      </w:r>
      <w:r w:rsidRPr="00CF282F">
        <w:rPr>
          <w:rFonts w:ascii="Times New Roman" w:hAnsi="Times New Roman"/>
          <w:sz w:val="24"/>
        </w:rPr>
        <w:t xml:space="preserve">alle versterkte bescherming voor publieke figuren uit hun beledigingswetgeving </w:t>
      </w:r>
      <w:r w:rsidR="002517AE">
        <w:rPr>
          <w:rFonts w:ascii="Times New Roman" w:hAnsi="Times New Roman"/>
          <w:sz w:val="24"/>
        </w:rPr>
        <w:t xml:space="preserve">te </w:t>
      </w:r>
      <w:r w:rsidRPr="00CF282F">
        <w:rPr>
          <w:rFonts w:ascii="Times New Roman" w:hAnsi="Times New Roman"/>
          <w:sz w:val="24"/>
        </w:rPr>
        <w:t xml:space="preserve"> schrappen.</w:t>
      </w:r>
      <w:r w:rsidR="00DE568C">
        <w:rPr>
          <w:rFonts w:ascii="Times New Roman" w:hAnsi="Times New Roman"/>
          <w:sz w:val="24"/>
        </w:rPr>
        <w:t xml:space="preserve"> </w:t>
      </w:r>
      <w:r w:rsidR="00341831">
        <w:rPr>
          <w:rFonts w:ascii="Times New Roman" w:hAnsi="Times New Roman"/>
          <w:sz w:val="24"/>
        </w:rPr>
        <w:t xml:space="preserve">Daarbij riep de vergadering op tot het onverwijld afschaffen van gevangenisstraf voor beledigingsdelicten </w:t>
      </w:r>
      <w:r w:rsidR="00D71CB6">
        <w:rPr>
          <w:rFonts w:ascii="Times New Roman" w:hAnsi="Times New Roman"/>
          <w:sz w:val="24"/>
        </w:rPr>
        <w:t xml:space="preserve">en </w:t>
      </w:r>
      <w:r w:rsidR="00341831">
        <w:rPr>
          <w:rFonts w:ascii="Times New Roman" w:hAnsi="Times New Roman"/>
          <w:sz w:val="24"/>
        </w:rPr>
        <w:t xml:space="preserve">wees </w:t>
      </w:r>
      <w:r w:rsidR="007D78CF">
        <w:rPr>
          <w:rFonts w:ascii="Times New Roman" w:hAnsi="Times New Roman"/>
          <w:sz w:val="24"/>
        </w:rPr>
        <w:t>z</w:t>
      </w:r>
      <w:r w:rsidR="00D71CB6">
        <w:rPr>
          <w:rFonts w:ascii="Times New Roman" w:hAnsi="Times New Roman"/>
          <w:sz w:val="24"/>
        </w:rPr>
        <w:t>ij ook op het belang van het voorkomen van misbruik van vervolging wegens een beledigingsdelict.</w:t>
      </w:r>
      <w:r w:rsidR="00A903A9" w:rsidRPr="00CF282F">
        <w:rPr>
          <w:rFonts w:ascii="Times New Roman" w:hAnsi="Times New Roman"/>
          <w:sz w:val="24"/>
          <w:vertAlign w:val="superscript"/>
        </w:rPr>
        <w:footnoteReference w:id="19"/>
      </w:r>
    </w:p>
    <w:p w:rsidR="00341831" w:rsidRDefault="00341831" w:rsidP="00CF282F">
      <w:pPr>
        <w:rPr>
          <w:rFonts w:ascii="Times New Roman" w:hAnsi="Times New Roman"/>
          <w:sz w:val="24"/>
        </w:rPr>
      </w:pPr>
    </w:p>
    <w:p w:rsidR="00CF282F" w:rsidRDefault="0021315C" w:rsidP="00CF282F">
      <w:pPr>
        <w:rPr>
          <w:rFonts w:ascii="Times New Roman" w:hAnsi="Times New Roman"/>
          <w:sz w:val="24"/>
        </w:rPr>
      </w:pPr>
      <w:r>
        <w:rPr>
          <w:rFonts w:ascii="Times New Roman" w:hAnsi="Times New Roman"/>
          <w:sz w:val="24"/>
        </w:rPr>
        <w:t xml:space="preserve">Ook </w:t>
      </w:r>
      <w:r w:rsidR="00CF282F" w:rsidRPr="00CF282F">
        <w:rPr>
          <w:rFonts w:ascii="Times New Roman" w:hAnsi="Times New Roman"/>
          <w:sz w:val="24"/>
        </w:rPr>
        <w:t xml:space="preserve">het Mensenrechtencomité van de Verenigde Naties </w:t>
      </w:r>
      <w:r w:rsidR="00547FA9">
        <w:rPr>
          <w:rFonts w:ascii="Times New Roman" w:hAnsi="Times New Roman"/>
          <w:sz w:val="24"/>
        </w:rPr>
        <w:t xml:space="preserve">sprak </w:t>
      </w:r>
      <w:r w:rsidR="00DE568C">
        <w:rPr>
          <w:rFonts w:ascii="Times New Roman" w:hAnsi="Times New Roman"/>
          <w:sz w:val="24"/>
        </w:rPr>
        <w:t xml:space="preserve">– in 2011 – uit, </w:t>
      </w:r>
      <w:r w:rsidR="00CF282F" w:rsidRPr="00CF282F">
        <w:rPr>
          <w:rFonts w:ascii="Times New Roman" w:hAnsi="Times New Roman"/>
          <w:sz w:val="24"/>
        </w:rPr>
        <w:t xml:space="preserve"> dat wetten niet moeten voorzien in zwaarder</w:t>
      </w:r>
      <w:r w:rsidR="00DE568C">
        <w:rPr>
          <w:rFonts w:ascii="Times New Roman" w:hAnsi="Times New Roman"/>
          <w:sz w:val="24"/>
        </w:rPr>
        <w:t>e</w:t>
      </w:r>
      <w:r w:rsidR="00CF282F" w:rsidRPr="00CF282F">
        <w:rPr>
          <w:rFonts w:ascii="Times New Roman" w:hAnsi="Times New Roman"/>
          <w:sz w:val="24"/>
        </w:rPr>
        <w:t xml:space="preserve"> straffen puur op de basis van de identiteit van de mogelijk beledigde persoon.</w:t>
      </w:r>
      <w:r w:rsidR="00CF282F" w:rsidRPr="00CF282F">
        <w:rPr>
          <w:rFonts w:ascii="Times New Roman" w:hAnsi="Times New Roman"/>
          <w:sz w:val="24"/>
          <w:vertAlign w:val="superscript"/>
        </w:rPr>
        <w:footnoteReference w:id="20"/>
      </w:r>
      <w:r w:rsidR="00CF282F" w:rsidRPr="00CF282F">
        <w:rPr>
          <w:rFonts w:ascii="Times New Roman" w:hAnsi="Times New Roman"/>
          <w:sz w:val="24"/>
        </w:rPr>
        <w:t xml:space="preserve"> </w:t>
      </w:r>
    </w:p>
    <w:p w:rsidR="00D71CB6" w:rsidRPr="00CF282F" w:rsidRDefault="00D71CB6" w:rsidP="00CF282F">
      <w:pPr>
        <w:rPr>
          <w:rFonts w:ascii="Times New Roman" w:hAnsi="Times New Roman"/>
          <w:sz w:val="24"/>
        </w:rPr>
      </w:pPr>
    </w:p>
    <w:p w:rsidR="008A0162" w:rsidRPr="00CF282F" w:rsidRDefault="008A0162" w:rsidP="005D44DE">
      <w:pPr>
        <w:rPr>
          <w:rFonts w:ascii="Times New Roman" w:hAnsi="Times New Roman"/>
          <w:i/>
          <w:sz w:val="24"/>
        </w:rPr>
      </w:pPr>
      <w:r w:rsidRPr="00CF282F">
        <w:rPr>
          <w:rFonts w:ascii="Times New Roman" w:hAnsi="Times New Roman"/>
          <w:i/>
          <w:sz w:val="24"/>
        </w:rPr>
        <w:t>3. Bezwaren tegen de huidige regeling</w:t>
      </w:r>
    </w:p>
    <w:p w:rsidR="008A0162" w:rsidRPr="00CF282F" w:rsidRDefault="008A0162" w:rsidP="005D44DE">
      <w:pPr>
        <w:rPr>
          <w:rFonts w:ascii="Times New Roman" w:hAnsi="Times New Roman"/>
          <w:sz w:val="24"/>
        </w:rPr>
      </w:pPr>
    </w:p>
    <w:p w:rsidR="006B51D2" w:rsidRDefault="00D71CB6" w:rsidP="005D44DE">
      <w:pPr>
        <w:rPr>
          <w:rFonts w:ascii="Times New Roman" w:hAnsi="Times New Roman"/>
          <w:sz w:val="24"/>
        </w:rPr>
      </w:pPr>
      <w:r>
        <w:rPr>
          <w:rFonts w:ascii="Times New Roman" w:hAnsi="Times New Roman"/>
          <w:sz w:val="24"/>
        </w:rPr>
        <w:t xml:space="preserve">Het kernbezwaar tegen </w:t>
      </w:r>
      <w:r w:rsidR="00E75221">
        <w:rPr>
          <w:rFonts w:ascii="Times New Roman" w:hAnsi="Times New Roman"/>
          <w:sz w:val="24"/>
        </w:rPr>
        <w:t xml:space="preserve">de </w:t>
      </w:r>
      <w:r w:rsidR="008D18ED">
        <w:rPr>
          <w:rFonts w:ascii="Times New Roman" w:hAnsi="Times New Roman"/>
          <w:sz w:val="24"/>
        </w:rPr>
        <w:t xml:space="preserve">bijzondere strafbepalingen met betrekking tot belediging van de Koning, </w:t>
      </w:r>
      <w:r w:rsidR="008D18ED" w:rsidRPr="008D18ED">
        <w:rPr>
          <w:rFonts w:ascii="Times New Roman" w:hAnsi="Times New Roman"/>
          <w:sz w:val="24"/>
        </w:rPr>
        <w:t>de echtgenoot van de Koning, de vermoedelijke opvolger van de Koning, diens echtgenoot, de Regent</w:t>
      </w:r>
      <w:r w:rsidR="008D18ED">
        <w:rPr>
          <w:rFonts w:ascii="Times New Roman" w:hAnsi="Times New Roman"/>
          <w:sz w:val="24"/>
        </w:rPr>
        <w:t>, het</w:t>
      </w:r>
      <w:r w:rsidR="008D18ED" w:rsidRPr="008D18ED">
        <w:t xml:space="preserve"> </w:t>
      </w:r>
      <w:r w:rsidR="008D18ED" w:rsidRPr="008D18ED">
        <w:rPr>
          <w:rFonts w:ascii="Times New Roman" w:hAnsi="Times New Roman"/>
          <w:sz w:val="24"/>
        </w:rPr>
        <w:t>hoofd of een lid van de regering of een offici</w:t>
      </w:r>
      <w:r w:rsidR="008D18ED">
        <w:rPr>
          <w:rFonts w:ascii="Times New Roman" w:hAnsi="Times New Roman"/>
          <w:sz w:val="24"/>
        </w:rPr>
        <w:t xml:space="preserve">ële </w:t>
      </w:r>
      <w:r w:rsidR="008D18ED" w:rsidRPr="008D18ED">
        <w:rPr>
          <w:rFonts w:ascii="Times New Roman" w:hAnsi="Times New Roman"/>
          <w:sz w:val="24"/>
        </w:rPr>
        <w:t>vertegenwoordiger van een bevriende staat</w:t>
      </w:r>
      <w:r w:rsidR="008D18ED">
        <w:rPr>
          <w:rFonts w:ascii="Times New Roman" w:hAnsi="Times New Roman"/>
          <w:sz w:val="24"/>
        </w:rPr>
        <w:t xml:space="preserve"> is, dat zij onnodig afwijken van de voor alle andere personen geldende wettelijke bepalingen. Dat zijn </w:t>
      </w:r>
      <w:r w:rsidR="009856B5">
        <w:rPr>
          <w:rFonts w:ascii="Times New Roman" w:hAnsi="Times New Roman"/>
          <w:sz w:val="24"/>
        </w:rPr>
        <w:t xml:space="preserve">de commune beledigingsdelicten </w:t>
      </w:r>
      <w:r w:rsidR="008D18ED" w:rsidRPr="008D18ED">
        <w:rPr>
          <w:rFonts w:ascii="Times New Roman" w:hAnsi="Times New Roman"/>
          <w:sz w:val="24"/>
        </w:rPr>
        <w:t xml:space="preserve"> smaad </w:t>
      </w:r>
      <w:r w:rsidR="00B84CC5">
        <w:rPr>
          <w:rFonts w:ascii="Times New Roman" w:hAnsi="Times New Roman"/>
          <w:sz w:val="24"/>
        </w:rPr>
        <w:t xml:space="preserve">en smaadschrift </w:t>
      </w:r>
      <w:r w:rsidR="008D18ED" w:rsidRPr="008D18ED">
        <w:rPr>
          <w:rFonts w:ascii="Times New Roman" w:hAnsi="Times New Roman"/>
          <w:sz w:val="24"/>
        </w:rPr>
        <w:t>(</w:t>
      </w:r>
      <w:r w:rsidR="00B84CC5">
        <w:rPr>
          <w:rFonts w:ascii="Times New Roman" w:hAnsi="Times New Roman"/>
          <w:sz w:val="24"/>
        </w:rPr>
        <w:t xml:space="preserve">art. </w:t>
      </w:r>
      <w:r w:rsidR="008D18ED" w:rsidRPr="008D18ED">
        <w:rPr>
          <w:rFonts w:ascii="Times New Roman" w:hAnsi="Times New Roman"/>
          <w:sz w:val="24"/>
        </w:rPr>
        <w:t>261 Sr), laster (</w:t>
      </w:r>
      <w:r w:rsidR="00B84CC5">
        <w:rPr>
          <w:rFonts w:ascii="Times New Roman" w:hAnsi="Times New Roman"/>
          <w:sz w:val="24"/>
        </w:rPr>
        <w:t xml:space="preserve">art. </w:t>
      </w:r>
      <w:r w:rsidR="008D18ED" w:rsidRPr="008D18ED">
        <w:rPr>
          <w:rFonts w:ascii="Times New Roman" w:hAnsi="Times New Roman"/>
          <w:sz w:val="24"/>
        </w:rPr>
        <w:t xml:space="preserve">262 Sr) en eenvoudige belediging </w:t>
      </w:r>
      <w:r w:rsidR="00B84CC5">
        <w:rPr>
          <w:rFonts w:ascii="Times New Roman" w:hAnsi="Times New Roman"/>
          <w:sz w:val="24"/>
        </w:rPr>
        <w:t xml:space="preserve">(art. </w:t>
      </w:r>
      <w:r w:rsidR="008D18ED" w:rsidRPr="008D18ED">
        <w:rPr>
          <w:rFonts w:ascii="Times New Roman" w:hAnsi="Times New Roman"/>
          <w:sz w:val="24"/>
        </w:rPr>
        <w:t xml:space="preserve">266 Sr). </w:t>
      </w:r>
      <w:r w:rsidR="007F7648">
        <w:rPr>
          <w:rFonts w:ascii="Times New Roman" w:hAnsi="Times New Roman"/>
          <w:sz w:val="24"/>
        </w:rPr>
        <w:t xml:space="preserve">Die onnodige afwijking heeft ernstige gevolgen voor </w:t>
      </w:r>
      <w:r w:rsidR="009856B5">
        <w:rPr>
          <w:rFonts w:ascii="Times New Roman" w:hAnsi="Times New Roman"/>
          <w:sz w:val="24"/>
        </w:rPr>
        <w:t xml:space="preserve">de vrijheid van meningsuiting en </w:t>
      </w:r>
      <w:r w:rsidR="009856B5">
        <w:rPr>
          <w:rFonts w:ascii="Times New Roman" w:hAnsi="Times New Roman"/>
          <w:sz w:val="24"/>
        </w:rPr>
        <w:lastRenderedPageBreak/>
        <w:t>beperkt daarbij de mogelijkheden voor het  maatschappelijk debat meer dan in een democratische samenleving nodig en wenselijk is.</w:t>
      </w:r>
      <w:r w:rsidR="009856B5">
        <w:rPr>
          <w:rStyle w:val="Voetnootmarkering"/>
          <w:rFonts w:ascii="Times New Roman" w:hAnsi="Times New Roman"/>
          <w:sz w:val="24"/>
        </w:rPr>
        <w:footnoteReference w:id="21"/>
      </w:r>
      <w:r w:rsidR="009856B5">
        <w:rPr>
          <w:rFonts w:ascii="Times New Roman" w:hAnsi="Times New Roman"/>
          <w:sz w:val="24"/>
        </w:rPr>
        <w:t xml:space="preserve">  </w:t>
      </w:r>
    </w:p>
    <w:p w:rsidR="007F7648" w:rsidRDefault="007F7648" w:rsidP="005D44DE">
      <w:pPr>
        <w:rPr>
          <w:rFonts w:ascii="Times New Roman" w:hAnsi="Times New Roman"/>
          <w:sz w:val="24"/>
        </w:rPr>
      </w:pPr>
    </w:p>
    <w:p w:rsidR="006B51D2" w:rsidRDefault="00910EE7" w:rsidP="006B51D2">
      <w:pPr>
        <w:rPr>
          <w:rFonts w:ascii="Times New Roman" w:hAnsi="Times New Roman"/>
          <w:sz w:val="24"/>
        </w:rPr>
      </w:pPr>
      <w:r>
        <w:rPr>
          <w:rFonts w:ascii="Times New Roman" w:hAnsi="Times New Roman"/>
          <w:sz w:val="24"/>
        </w:rPr>
        <w:t>Bezwaarlijke v</w:t>
      </w:r>
      <w:r w:rsidR="006B51D2">
        <w:rPr>
          <w:rFonts w:ascii="Times New Roman" w:hAnsi="Times New Roman"/>
          <w:sz w:val="24"/>
        </w:rPr>
        <w:t xml:space="preserve">erschillen zijn er met betrekking tot: </w:t>
      </w:r>
    </w:p>
    <w:p w:rsidR="006B51D2" w:rsidRDefault="006B51D2" w:rsidP="006B51D2">
      <w:pPr>
        <w:rPr>
          <w:rFonts w:ascii="Times New Roman" w:hAnsi="Times New Roman"/>
          <w:sz w:val="24"/>
        </w:rPr>
      </w:pPr>
      <w:r>
        <w:rPr>
          <w:rFonts w:ascii="Times New Roman" w:hAnsi="Times New Roman"/>
          <w:sz w:val="24"/>
        </w:rPr>
        <w:t xml:space="preserve">- de afwezigheid van een uitzondering voor het behartigen van het algemeen belang, </w:t>
      </w:r>
    </w:p>
    <w:p w:rsidR="006B51D2" w:rsidRPr="006B51D2" w:rsidRDefault="006B51D2" w:rsidP="006B51D2">
      <w:pPr>
        <w:rPr>
          <w:rFonts w:ascii="Times New Roman" w:hAnsi="Times New Roman"/>
          <w:sz w:val="24"/>
        </w:rPr>
      </w:pPr>
      <w:r>
        <w:rPr>
          <w:rFonts w:ascii="Times New Roman" w:hAnsi="Times New Roman"/>
          <w:sz w:val="24"/>
        </w:rPr>
        <w:t xml:space="preserve">- de afwezigheid van </w:t>
      </w:r>
      <w:r w:rsidR="00AB1828">
        <w:rPr>
          <w:rFonts w:ascii="Times New Roman" w:hAnsi="Times New Roman"/>
          <w:sz w:val="24"/>
        </w:rPr>
        <w:t>een</w:t>
      </w:r>
      <w:r>
        <w:rPr>
          <w:rFonts w:ascii="Times New Roman" w:hAnsi="Times New Roman"/>
          <w:sz w:val="24"/>
        </w:rPr>
        <w:t xml:space="preserve"> vereiste </w:t>
      </w:r>
      <w:r w:rsidR="00AB1828">
        <w:rPr>
          <w:rFonts w:ascii="Times New Roman" w:hAnsi="Times New Roman"/>
          <w:sz w:val="24"/>
        </w:rPr>
        <w:t xml:space="preserve">met betrekking tot </w:t>
      </w:r>
      <w:r w:rsidRPr="006B51D2">
        <w:rPr>
          <w:rFonts w:ascii="Times New Roman" w:hAnsi="Times New Roman"/>
          <w:sz w:val="24"/>
        </w:rPr>
        <w:t>een zekere openbaarheid of  kenbaarheid voor de beledigde persoon</w:t>
      </w:r>
      <w:r>
        <w:rPr>
          <w:rFonts w:ascii="Times New Roman" w:hAnsi="Times New Roman"/>
          <w:sz w:val="24"/>
        </w:rPr>
        <w:t>,</w:t>
      </w:r>
    </w:p>
    <w:p w:rsidR="006B51D2" w:rsidRDefault="006B51D2" w:rsidP="006B51D2">
      <w:pPr>
        <w:rPr>
          <w:rFonts w:ascii="Times New Roman" w:hAnsi="Times New Roman"/>
          <w:sz w:val="24"/>
        </w:rPr>
      </w:pPr>
      <w:r>
        <w:rPr>
          <w:rFonts w:ascii="Times New Roman" w:hAnsi="Times New Roman"/>
          <w:sz w:val="24"/>
        </w:rPr>
        <w:t xml:space="preserve">- de </w:t>
      </w:r>
      <w:r w:rsidR="00AB1828">
        <w:rPr>
          <w:rFonts w:ascii="Times New Roman" w:hAnsi="Times New Roman"/>
          <w:sz w:val="24"/>
        </w:rPr>
        <w:t xml:space="preserve">aanzienlijk </w:t>
      </w:r>
      <w:r>
        <w:rPr>
          <w:rFonts w:ascii="Times New Roman" w:hAnsi="Times New Roman"/>
          <w:sz w:val="24"/>
        </w:rPr>
        <w:t xml:space="preserve">hogere strafmaat en de </w:t>
      </w:r>
      <w:r w:rsidR="00AB1828">
        <w:rPr>
          <w:rFonts w:ascii="Times New Roman" w:hAnsi="Times New Roman"/>
          <w:sz w:val="24"/>
        </w:rPr>
        <w:t xml:space="preserve">zwaarte van de </w:t>
      </w:r>
      <w:r>
        <w:rPr>
          <w:rFonts w:ascii="Times New Roman" w:hAnsi="Times New Roman"/>
          <w:sz w:val="24"/>
        </w:rPr>
        <w:t xml:space="preserve">mogelijke bijkomende straffen en </w:t>
      </w:r>
    </w:p>
    <w:p w:rsidR="006B51D2" w:rsidRDefault="006B51D2" w:rsidP="006B51D2">
      <w:pPr>
        <w:rPr>
          <w:rFonts w:ascii="Times New Roman" w:hAnsi="Times New Roman"/>
          <w:sz w:val="24"/>
        </w:rPr>
      </w:pPr>
      <w:r>
        <w:rPr>
          <w:rFonts w:ascii="Times New Roman" w:hAnsi="Times New Roman"/>
          <w:sz w:val="24"/>
        </w:rPr>
        <w:t>- het niet zijn van een klachtdelict, waardoor het – willekeurige – vervolgingsbeleid relevant wordt.</w:t>
      </w:r>
    </w:p>
    <w:p w:rsidR="006B51D2" w:rsidRDefault="006B51D2" w:rsidP="006B51D2">
      <w:pPr>
        <w:rPr>
          <w:rFonts w:ascii="Times New Roman" w:hAnsi="Times New Roman"/>
          <w:sz w:val="24"/>
        </w:rPr>
      </w:pPr>
    </w:p>
    <w:p w:rsidR="006B51D2" w:rsidRPr="006B51D2" w:rsidRDefault="006B51D2" w:rsidP="006B51D2">
      <w:pPr>
        <w:rPr>
          <w:rFonts w:ascii="Times New Roman" w:hAnsi="Times New Roman"/>
          <w:i/>
          <w:sz w:val="24"/>
        </w:rPr>
      </w:pPr>
      <w:r w:rsidRPr="006B51D2">
        <w:rPr>
          <w:rFonts w:ascii="Times New Roman" w:hAnsi="Times New Roman"/>
          <w:i/>
          <w:sz w:val="24"/>
        </w:rPr>
        <w:t>3.1. Algemeen belang</w:t>
      </w:r>
    </w:p>
    <w:p w:rsidR="001C7670" w:rsidRDefault="001C7670" w:rsidP="005D44DE">
      <w:pPr>
        <w:rPr>
          <w:rFonts w:ascii="Times New Roman" w:hAnsi="Times New Roman"/>
          <w:sz w:val="24"/>
        </w:rPr>
      </w:pPr>
    </w:p>
    <w:p w:rsidR="008A0162" w:rsidRDefault="001C7670" w:rsidP="005D44DE">
      <w:pPr>
        <w:rPr>
          <w:rFonts w:ascii="Times New Roman" w:hAnsi="Times New Roman"/>
          <w:sz w:val="24"/>
        </w:rPr>
      </w:pPr>
      <w:r>
        <w:rPr>
          <w:rFonts w:ascii="Times New Roman" w:hAnsi="Times New Roman"/>
          <w:sz w:val="24"/>
        </w:rPr>
        <w:t>Van smaad is geen sprake, als</w:t>
      </w:r>
      <w:r w:rsidRPr="001C7670">
        <w:rPr>
          <w:rFonts w:ascii="Times New Roman" w:hAnsi="Times New Roman"/>
          <w:sz w:val="24"/>
        </w:rPr>
        <w:t xml:space="preserve"> de dader te goeder trouw heeft kunnen aannemen dat het te</w:t>
      </w:r>
      <w:r w:rsidR="009F2A72">
        <w:rPr>
          <w:rFonts w:ascii="Times New Roman" w:hAnsi="Times New Roman"/>
          <w:sz w:val="24"/>
        </w:rPr>
        <w:t>n</w:t>
      </w:r>
      <w:r w:rsidRPr="001C7670">
        <w:rPr>
          <w:rFonts w:ascii="Times New Roman" w:hAnsi="Times New Roman"/>
          <w:sz w:val="24"/>
        </w:rPr>
        <w:t>last</w:t>
      </w:r>
      <w:r w:rsidR="009F2A72">
        <w:rPr>
          <w:rFonts w:ascii="Times New Roman" w:hAnsi="Times New Roman"/>
          <w:sz w:val="24"/>
        </w:rPr>
        <w:t>e</w:t>
      </w:r>
      <w:r w:rsidRPr="001C7670">
        <w:rPr>
          <w:rFonts w:ascii="Times New Roman" w:hAnsi="Times New Roman"/>
          <w:sz w:val="24"/>
        </w:rPr>
        <w:t>gelegde waar was en dat het algemeen belang de te</w:t>
      </w:r>
      <w:r w:rsidR="009F2A72">
        <w:rPr>
          <w:rFonts w:ascii="Times New Roman" w:hAnsi="Times New Roman"/>
          <w:sz w:val="24"/>
        </w:rPr>
        <w:t>n</w:t>
      </w:r>
      <w:r w:rsidRPr="001C7670">
        <w:rPr>
          <w:rFonts w:ascii="Times New Roman" w:hAnsi="Times New Roman"/>
          <w:sz w:val="24"/>
        </w:rPr>
        <w:t>last</w:t>
      </w:r>
      <w:r w:rsidR="009F2A72">
        <w:rPr>
          <w:rFonts w:ascii="Times New Roman" w:hAnsi="Times New Roman"/>
          <w:sz w:val="24"/>
        </w:rPr>
        <w:t>e</w:t>
      </w:r>
      <w:r w:rsidRPr="001C7670">
        <w:rPr>
          <w:rFonts w:ascii="Times New Roman" w:hAnsi="Times New Roman"/>
          <w:sz w:val="24"/>
        </w:rPr>
        <w:t xml:space="preserve">legging </w:t>
      </w:r>
      <w:r w:rsidR="009F2A72">
        <w:rPr>
          <w:rFonts w:ascii="Times New Roman" w:hAnsi="Times New Roman"/>
          <w:sz w:val="24"/>
        </w:rPr>
        <w:t>ver</w:t>
      </w:r>
      <w:r w:rsidRPr="001C7670">
        <w:rPr>
          <w:rFonts w:ascii="Times New Roman" w:hAnsi="Times New Roman"/>
          <w:sz w:val="24"/>
        </w:rPr>
        <w:t>eiste</w:t>
      </w:r>
      <w:r w:rsidR="001F78FB">
        <w:rPr>
          <w:rFonts w:ascii="Times New Roman" w:hAnsi="Times New Roman"/>
          <w:sz w:val="24"/>
        </w:rPr>
        <w:t xml:space="preserve"> </w:t>
      </w:r>
      <w:r w:rsidR="001F78FB" w:rsidRPr="001F78FB">
        <w:rPr>
          <w:rFonts w:ascii="Times New Roman" w:hAnsi="Times New Roman"/>
          <w:sz w:val="24"/>
        </w:rPr>
        <w:t>(art. 261 Sr)</w:t>
      </w:r>
      <w:r w:rsidRPr="001C7670">
        <w:rPr>
          <w:rFonts w:ascii="Times New Roman" w:hAnsi="Times New Roman"/>
          <w:sz w:val="24"/>
        </w:rPr>
        <w:t>.</w:t>
      </w:r>
      <w:r>
        <w:rPr>
          <w:rFonts w:ascii="Times New Roman" w:hAnsi="Times New Roman"/>
          <w:sz w:val="24"/>
        </w:rPr>
        <w:t xml:space="preserve"> </w:t>
      </w:r>
      <w:r w:rsidR="00A903A9">
        <w:rPr>
          <w:rFonts w:ascii="Times New Roman" w:hAnsi="Times New Roman"/>
          <w:sz w:val="24"/>
        </w:rPr>
        <w:t>V</w:t>
      </w:r>
      <w:r>
        <w:rPr>
          <w:rFonts w:ascii="Times New Roman" w:hAnsi="Times New Roman"/>
          <w:sz w:val="24"/>
        </w:rPr>
        <w:t xml:space="preserve">an </w:t>
      </w:r>
      <w:r w:rsidR="008D18ED" w:rsidRPr="008D18ED">
        <w:rPr>
          <w:rFonts w:ascii="Times New Roman" w:hAnsi="Times New Roman"/>
          <w:sz w:val="24"/>
        </w:rPr>
        <w:t>eenvoudige belediging zijn alle gedragingen uitgezonderd die ertoe strekken een oordeel te geven over de behartiging van openbare belangen, en die er niet op gericht zijn ook in een ander opzicht of zwaarder te grieven dan uit die strekking voortvloeit</w:t>
      </w:r>
      <w:r w:rsidR="001F78FB">
        <w:rPr>
          <w:rFonts w:ascii="Times New Roman" w:hAnsi="Times New Roman"/>
          <w:sz w:val="24"/>
        </w:rPr>
        <w:t xml:space="preserve"> </w:t>
      </w:r>
      <w:r w:rsidR="001F78FB" w:rsidRPr="001F78FB">
        <w:rPr>
          <w:rFonts w:ascii="Times New Roman" w:hAnsi="Times New Roman"/>
          <w:sz w:val="24"/>
        </w:rPr>
        <w:t>(art. 266 Sr)</w:t>
      </w:r>
      <w:r w:rsidR="008D18ED" w:rsidRPr="008D18ED">
        <w:rPr>
          <w:rFonts w:ascii="Times New Roman" w:hAnsi="Times New Roman"/>
          <w:sz w:val="24"/>
        </w:rPr>
        <w:t>.</w:t>
      </w:r>
      <w:r w:rsidR="00B56A5A">
        <w:rPr>
          <w:rStyle w:val="Voetnootmarkering"/>
          <w:rFonts w:ascii="Times New Roman" w:hAnsi="Times New Roman"/>
          <w:sz w:val="24"/>
        </w:rPr>
        <w:footnoteReference w:id="22"/>
      </w:r>
      <w:r w:rsidR="008D18ED">
        <w:rPr>
          <w:rFonts w:ascii="Times New Roman" w:hAnsi="Times New Roman"/>
          <w:sz w:val="24"/>
        </w:rPr>
        <w:t xml:space="preserve"> Dat </w:t>
      </w:r>
      <w:r>
        <w:rPr>
          <w:rFonts w:ascii="Times New Roman" w:hAnsi="Times New Roman"/>
          <w:sz w:val="24"/>
        </w:rPr>
        <w:t>zijn</w:t>
      </w:r>
      <w:r w:rsidR="008D18ED">
        <w:rPr>
          <w:rFonts w:ascii="Times New Roman" w:hAnsi="Times New Roman"/>
          <w:sz w:val="24"/>
        </w:rPr>
        <w:t xml:space="preserve"> vanuit een oogpunt van vrije meningsuiting </w:t>
      </w:r>
      <w:r>
        <w:rPr>
          <w:rFonts w:ascii="Times New Roman" w:hAnsi="Times New Roman"/>
          <w:sz w:val="24"/>
        </w:rPr>
        <w:t>b</w:t>
      </w:r>
      <w:r w:rsidR="008D18ED">
        <w:rPr>
          <w:rFonts w:ascii="Times New Roman" w:hAnsi="Times New Roman"/>
          <w:sz w:val="24"/>
        </w:rPr>
        <w:t xml:space="preserve">elangrijke </w:t>
      </w:r>
      <w:r w:rsidR="00B56A5A">
        <w:rPr>
          <w:rFonts w:ascii="Times New Roman" w:hAnsi="Times New Roman"/>
          <w:sz w:val="24"/>
        </w:rPr>
        <w:t>rechtvaardigingsgronden</w:t>
      </w:r>
      <w:r w:rsidR="008D18ED">
        <w:rPr>
          <w:rFonts w:ascii="Times New Roman" w:hAnsi="Times New Roman"/>
          <w:sz w:val="24"/>
        </w:rPr>
        <w:t>, die bij majesteitsschennis node word</w:t>
      </w:r>
      <w:r w:rsidR="003F06FD">
        <w:rPr>
          <w:rFonts w:ascii="Times New Roman" w:hAnsi="Times New Roman"/>
          <w:sz w:val="24"/>
        </w:rPr>
        <w:t>en</w:t>
      </w:r>
      <w:r w:rsidR="008D18ED">
        <w:rPr>
          <w:rFonts w:ascii="Times New Roman" w:hAnsi="Times New Roman"/>
          <w:sz w:val="24"/>
        </w:rPr>
        <w:t xml:space="preserve"> gemist. </w:t>
      </w:r>
    </w:p>
    <w:p w:rsidR="000535AD" w:rsidRDefault="000535AD" w:rsidP="005D44DE">
      <w:pPr>
        <w:rPr>
          <w:rFonts w:ascii="Times New Roman" w:hAnsi="Times New Roman"/>
          <w:sz w:val="24"/>
        </w:rPr>
      </w:pPr>
    </w:p>
    <w:p w:rsidR="000535AD" w:rsidRDefault="005F60A3" w:rsidP="000535AD">
      <w:pPr>
        <w:rPr>
          <w:rFonts w:ascii="Times New Roman" w:hAnsi="Times New Roman"/>
          <w:sz w:val="24"/>
        </w:rPr>
      </w:pPr>
      <w:r>
        <w:rPr>
          <w:rFonts w:ascii="Times New Roman" w:hAnsi="Times New Roman"/>
          <w:sz w:val="24"/>
        </w:rPr>
        <w:t>Als</w:t>
      </w:r>
      <w:r w:rsidR="000535AD">
        <w:rPr>
          <w:rFonts w:ascii="Times New Roman" w:hAnsi="Times New Roman"/>
          <w:sz w:val="24"/>
        </w:rPr>
        <w:t xml:space="preserve"> belediging van een bevriend staatshoofd aan de orde is, zal al snel een politiek </w:t>
      </w:r>
      <w:r>
        <w:rPr>
          <w:rFonts w:ascii="Times New Roman" w:hAnsi="Times New Roman"/>
          <w:sz w:val="24"/>
        </w:rPr>
        <w:t>debat</w:t>
      </w:r>
      <w:r w:rsidR="000535AD">
        <w:rPr>
          <w:rFonts w:ascii="Times New Roman" w:hAnsi="Times New Roman"/>
          <w:sz w:val="24"/>
        </w:rPr>
        <w:t xml:space="preserve">  daarvoor de aanleiding zijn. Daarbij is van belang, dat de in a</w:t>
      </w:r>
      <w:r w:rsidR="000535AD" w:rsidRPr="000535AD">
        <w:rPr>
          <w:rFonts w:ascii="Times New Roman" w:hAnsi="Times New Roman"/>
          <w:sz w:val="24"/>
        </w:rPr>
        <w:t>rtikel 87a</w:t>
      </w:r>
      <w:r w:rsidR="000535AD">
        <w:rPr>
          <w:rFonts w:ascii="Times New Roman" w:hAnsi="Times New Roman"/>
          <w:sz w:val="24"/>
        </w:rPr>
        <w:t xml:space="preserve"> Sr opgenomen definitie van een “</w:t>
      </w:r>
      <w:r w:rsidR="000535AD" w:rsidRPr="000535AD">
        <w:rPr>
          <w:rFonts w:ascii="Times New Roman" w:hAnsi="Times New Roman"/>
          <w:sz w:val="24"/>
        </w:rPr>
        <w:t>bevriende staat</w:t>
      </w:r>
      <w:r w:rsidR="000535AD">
        <w:rPr>
          <w:rFonts w:ascii="Times New Roman" w:hAnsi="Times New Roman"/>
          <w:sz w:val="24"/>
        </w:rPr>
        <w:t>”</w:t>
      </w:r>
      <w:r w:rsidR="000535AD" w:rsidRPr="000535AD">
        <w:rPr>
          <w:rFonts w:ascii="Times New Roman" w:hAnsi="Times New Roman"/>
          <w:sz w:val="24"/>
        </w:rPr>
        <w:t xml:space="preserve"> </w:t>
      </w:r>
      <w:r w:rsidR="000535AD">
        <w:rPr>
          <w:rFonts w:ascii="Times New Roman" w:hAnsi="Times New Roman"/>
          <w:sz w:val="24"/>
        </w:rPr>
        <w:t xml:space="preserve">wel bijzonder ruim is: iedere </w:t>
      </w:r>
      <w:r w:rsidR="000535AD" w:rsidRPr="000535AD">
        <w:rPr>
          <w:rFonts w:ascii="Times New Roman" w:hAnsi="Times New Roman"/>
          <w:sz w:val="24"/>
        </w:rPr>
        <w:t>buitenlandse mogendheid waarmee Nederland niet in een gewapend conflict is gewikkeld.</w:t>
      </w:r>
      <w:r w:rsidR="000535AD">
        <w:rPr>
          <w:rFonts w:ascii="Times New Roman" w:hAnsi="Times New Roman"/>
          <w:sz w:val="24"/>
        </w:rPr>
        <w:t xml:space="preserve"> Dat zijn niet altijd even fatsoenlijke democratieën. </w:t>
      </w:r>
      <w:r w:rsidR="005415D7">
        <w:rPr>
          <w:rFonts w:ascii="Times New Roman" w:hAnsi="Times New Roman"/>
          <w:sz w:val="24"/>
        </w:rPr>
        <w:t xml:space="preserve">Maar dat staat toch niet altijd in de weg aan een officieel verblijf van het staatshoofd van zo’n land in Nederland. Dat moge zo zijn, maar het zou bedenkelijk zijn als tijdens </w:t>
      </w:r>
      <w:r>
        <w:rPr>
          <w:rFonts w:ascii="Times New Roman" w:hAnsi="Times New Roman"/>
          <w:sz w:val="24"/>
        </w:rPr>
        <w:t>dat</w:t>
      </w:r>
      <w:r w:rsidR="005415D7">
        <w:rPr>
          <w:rFonts w:ascii="Times New Roman" w:hAnsi="Times New Roman"/>
          <w:sz w:val="24"/>
        </w:rPr>
        <w:t xml:space="preserve"> verblijf de vrijheid van meningsuiting in Nederland beperkt zou moeten worden tot het niveau dat gebruikelijk is in het land van het bezoekende staatshoofd. </w:t>
      </w:r>
      <w:r w:rsidR="00C842EF">
        <w:rPr>
          <w:rFonts w:ascii="Times New Roman" w:hAnsi="Times New Roman"/>
          <w:sz w:val="24"/>
        </w:rPr>
        <w:t>Ook in gevallen als deze kan de rechtvaardigingsgrond van art. 266 Sr niet worden gemist.</w:t>
      </w:r>
    </w:p>
    <w:p w:rsidR="00C842EF" w:rsidRDefault="00C842EF" w:rsidP="000535AD">
      <w:pPr>
        <w:rPr>
          <w:rFonts w:ascii="Times New Roman" w:hAnsi="Times New Roman"/>
          <w:sz w:val="24"/>
        </w:rPr>
      </w:pPr>
      <w:r>
        <w:rPr>
          <w:rFonts w:ascii="Times New Roman" w:hAnsi="Times New Roman"/>
          <w:sz w:val="24"/>
        </w:rPr>
        <w:t>Het openbare belang dat daar</w:t>
      </w:r>
      <w:r w:rsidR="00162B18">
        <w:rPr>
          <w:rFonts w:ascii="Times New Roman" w:hAnsi="Times New Roman"/>
          <w:sz w:val="24"/>
        </w:rPr>
        <w:t>bij</w:t>
      </w:r>
      <w:r>
        <w:rPr>
          <w:rFonts w:ascii="Times New Roman" w:hAnsi="Times New Roman"/>
          <w:sz w:val="24"/>
        </w:rPr>
        <w:t xml:space="preserve"> aan de orde is</w:t>
      </w:r>
      <w:r w:rsidR="00FA0D5E">
        <w:rPr>
          <w:rFonts w:ascii="Times New Roman" w:hAnsi="Times New Roman"/>
          <w:sz w:val="24"/>
        </w:rPr>
        <w:t>,</w:t>
      </w:r>
      <w:r>
        <w:rPr>
          <w:rFonts w:ascii="Times New Roman" w:hAnsi="Times New Roman"/>
          <w:sz w:val="24"/>
        </w:rPr>
        <w:t xml:space="preserve"> kan ook gelegen zijn in de geloofwaardigheid van Nederland als internationaal pleitbezorger voor de mensenrechten. Bijvoorbeeld als het Nederlandse staatshoofd een tegenbezoek brengt aan het eerder in Nederland ontvangen staatshoofd.</w:t>
      </w:r>
    </w:p>
    <w:p w:rsidR="008D18ED" w:rsidRDefault="008D18ED" w:rsidP="005D44DE">
      <w:pPr>
        <w:rPr>
          <w:rFonts w:ascii="Times New Roman" w:hAnsi="Times New Roman"/>
          <w:sz w:val="24"/>
        </w:rPr>
      </w:pPr>
    </w:p>
    <w:p w:rsidR="006B51D2" w:rsidRPr="006B51D2" w:rsidRDefault="006B51D2" w:rsidP="005D44DE">
      <w:pPr>
        <w:rPr>
          <w:rFonts w:ascii="Times New Roman" w:hAnsi="Times New Roman"/>
          <w:i/>
          <w:sz w:val="24"/>
        </w:rPr>
      </w:pPr>
      <w:r w:rsidRPr="006B51D2">
        <w:rPr>
          <w:rFonts w:ascii="Times New Roman" w:hAnsi="Times New Roman"/>
          <w:i/>
          <w:sz w:val="24"/>
        </w:rPr>
        <w:t xml:space="preserve">3.2. Openbaarheid </w:t>
      </w:r>
      <w:r w:rsidR="004851B4">
        <w:rPr>
          <w:rFonts w:ascii="Times New Roman" w:hAnsi="Times New Roman"/>
          <w:i/>
          <w:sz w:val="24"/>
        </w:rPr>
        <w:t>c.q.</w:t>
      </w:r>
      <w:r w:rsidRPr="006B51D2">
        <w:rPr>
          <w:rFonts w:ascii="Times New Roman" w:hAnsi="Times New Roman"/>
          <w:i/>
          <w:sz w:val="24"/>
        </w:rPr>
        <w:t xml:space="preserve"> kenbaarheid</w:t>
      </w:r>
    </w:p>
    <w:p w:rsidR="006B51D2" w:rsidRDefault="006B51D2" w:rsidP="005D44DE">
      <w:pPr>
        <w:rPr>
          <w:rFonts w:ascii="Times New Roman" w:hAnsi="Times New Roman"/>
          <w:sz w:val="24"/>
        </w:rPr>
      </w:pPr>
    </w:p>
    <w:p w:rsidR="008D18ED" w:rsidRDefault="008D18ED" w:rsidP="005D44DE">
      <w:pPr>
        <w:rPr>
          <w:rFonts w:ascii="Times New Roman" w:hAnsi="Times New Roman"/>
          <w:sz w:val="24"/>
        </w:rPr>
      </w:pPr>
      <w:r>
        <w:rPr>
          <w:rFonts w:ascii="Times New Roman" w:hAnsi="Times New Roman"/>
          <w:sz w:val="24"/>
        </w:rPr>
        <w:t xml:space="preserve">Een belangrijk verschil is ook gelegen in het element van </w:t>
      </w:r>
      <w:r w:rsidR="001C7670">
        <w:rPr>
          <w:rFonts w:ascii="Times New Roman" w:hAnsi="Times New Roman"/>
          <w:sz w:val="24"/>
        </w:rPr>
        <w:t xml:space="preserve">een zekere </w:t>
      </w:r>
      <w:r>
        <w:rPr>
          <w:rFonts w:ascii="Times New Roman" w:hAnsi="Times New Roman"/>
          <w:sz w:val="24"/>
        </w:rPr>
        <w:t>openbaarheid</w:t>
      </w:r>
      <w:r w:rsidR="001C7670">
        <w:rPr>
          <w:rFonts w:ascii="Times New Roman" w:hAnsi="Times New Roman"/>
          <w:sz w:val="24"/>
        </w:rPr>
        <w:t xml:space="preserve"> of  kenbaarheid voor de </w:t>
      </w:r>
      <w:r w:rsidR="00DE568C">
        <w:rPr>
          <w:rFonts w:ascii="Times New Roman" w:hAnsi="Times New Roman"/>
          <w:sz w:val="24"/>
        </w:rPr>
        <w:t>mogelijk beledigde persoon</w:t>
      </w:r>
      <w:r w:rsidR="001C7670">
        <w:rPr>
          <w:rFonts w:ascii="Times New Roman" w:hAnsi="Times New Roman"/>
          <w:sz w:val="24"/>
        </w:rPr>
        <w:t>. Bij smaad is vereist dat te</w:t>
      </w:r>
      <w:r w:rsidR="00803CD8">
        <w:rPr>
          <w:rFonts w:ascii="Times New Roman" w:hAnsi="Times New Roman"/>
          <w:sz w:val="24"/>
        </w:rPr>
        <w:t>n</w:t>
      </w:r>
      <w:r w:rsidR="001C7670">
        <w:rPr>
          <w:rFonts w:ascii="Times New Roman" w:hAnsi="Times New Roman"/>
          <w:sz w:val="24"/>
        </w:rPr>
        <w:t>last</w:t>
      </w:r>
      <w:r w:rsidR="00803CD8">
        <w:rPr>
          <w:rFonts w:ascii="Times New Roman" w:hAnsi="Times New Roman"/>
          <w:sz w:val="24"/>
        </w:rPr>
        <w:t>e</w:t>
      </w:r>
      <w:r w:rsidR="001C7670">
        <w:rPr>
          <w:rFonts w:ascii="Times New Roman" w:hAnsi="Times New Roman"/>
          <w:sz w:val="24"/>
        </w:rPr>
        <w:t xml:space="preserve">legging </w:t>
      </w:r>
      <w:r w:rsidR="00803CD8">
        <w:rPr>
          <w:rFonts w:ascii="Times New Roman" w:hAnsi="Times New Roman"/>
          <w:sz w:val="24"/>
        </w:rPr>
        <w:t>w</w:t>
      </w:r>
      <w:r w:rsidR="001C7670">
        <w:rPr>
          <w:rFonts w:ascii="Times New Roman" w:hAnsi="Times New Roman"/>
          <w:sz w:val="24"/>
        </w:rPr>
        <w:t xml:space="preserve">ordt gedaan </w:t>
      </w:r>
      <w:r w:rsidR="001C7670" w:rsidRPr="001C7670">
        <w:rPr>
          <w:rFonts w:ascii="Times New Roman" w:hAnsi="Times New Roman"/>
          <w:sz w:val="24"/>
        </w:rPr>
        <w:t>met het kennelijke doel om</w:t>
      </w:r>
      <w:r w:rsidR="001C7670">
        <w:rPr>
          <w:rFonts w:ascii="Times New Roman" w:hAnsi="Times New Roman"/>
          <w:sz w:val="24"/>
        </w:rPr>
        <w:t xml:space="preserve"> daaraan ruchtbaarheid te geven. Eenvoudige belediging moet aangedaan worden </w:t>
      </w:r>
      <w:r w:rsidR="001C7670" w:rsidRPr="001C7670">
        <w:rPr>
          <w:rFonts w:ascii="Times New Roman" w:hAnsi="Times New Roman"/>
          <w:sz w:val="24"/>
        </w:rPr>
        <w:t>hetzij in het openbaar</w:t>
      </w:r>
      <w:r w:rsidR="001C7670">
        <w:rPr>
          <w:rFonts w:ascii="Times New Roman" w:hAnsi="Times New Roman"/>
          <w:sz w:val="24"/>
        </w:rPr>
        <w:t xml:space="preserve">, hetzij in tegenwoordigheid van de </w:t>
      </w:r>
      <w:r w:rsidR="00DE568C">
        <w:rPr>
          <w:rFonts w:ascii="Times New Roman" w:hAnsi="Times New Roman"/>
          <w:sz w:val="24"/>
        </w:rPr>
        <w:t xml:space="preserve">betrokken persoon </w:t>
      </w:r>
      <w:r w:rsidR="001C7670">
        <w:rPr>
          <w:rFonts w:ascii="Times New Roman" w:hAnsi="Times New Roman"/>
          <w:sz w:val="24"/>
        </w:rPr>
        <w:t xml:space="preserve">of door </w:t>
      </w:r>
      <w:r w:rsidR="00DE568C">
        <w:rPr>
          <w:rFonts w:ascii="Times New Roman" w:hAnsi="Times New Roman"/>
          <w:sz w:val="24"/>
        </w:rPr>
        <w:t xml:space="preserve">aan </w:t>
      </w:r>
      <w:r w:rsidR="001C7670">
        <w:rPr>
          <w:rFonts w:ascii="Times New Roman" w:hAnsi="Times New Roman"/>
          <w:sz w:val="24"/>
        </w:rPr>
        <w:t xml:space="preserve">hem iets toe te zenden of aan te bieden. </w:t>
      </w:r>
    </w:p>
    <w:p w:rsidR="00B84CC5" w:rsidRDefault="001C7670" w:rsidP="005D44DE">
      <w:pPr>
        <w:rPr>
          <w:rFonts w:ascii="Times New Roman" w:hAnsi="Times New Roman"/>
          <w:sz w:val="24"/>
        </w:rPr>
      </w:pPr>
      <w:r>
        <w:rPr>
          <w:rFonts w:ascii="Times New Roman" w:hAnsi="Times New Roman"/>
          <w:sz w:val="24"/>
        </w:rPr>
        <w:t xml:space="preserve">Majesteitsschennis </w:t>
      </w:r>
      <w:r w:rsidR="00396F01">
        <w:rPr>
          <w:rFonts w:ascii="Times New Roman" w:hAnsi="Times New Roman"/>
          <w:sz w:val="24"/>
        </w:rPr>
        <w:t xml:space="preserve">daarentegen </w:t>
      </w:r>
      <w:r>
        <w:rPr>
          <w:rFonts w:ascii="Times New Roman" w:hAnsi="Times New Roman"/>
          <w:sz w:val="24"/>
        </w:rPr>
        <w:t xml:space="preserve">kan </w:t>
      </w:r>
      <w:r w:rsidR="00DE568C">
        <w:rPr>
          <w:rFonts w:ascii="Times New Roman" w:hAnsi="Times New Roman"/>
          <w:sz w:val="24"/>
        </w:rPr>
        <w:t xml:space="preserve">al </w:t>
      </w:r>
      <w:r>
        <w:rPr>
          <w:rFonts w:ascii="Times New Roman" w:hAnsi="Times New Roman"/>
          <w:sz w:val="24"/>
        </w:rPr>
        <w:t xml:space="preserve">gepleegd </w:t>
      </w:r>
      <w:r w:rsidR="00803CD8">
        <w:rPr>
          <w:rFonts w:ascii="Times New Roman" w:hAnsi="Times New Roman"/>
          <w:sz w:val="24"/>
        </w:rPr>
        <w:t xml:space="preserve">worden </w:t>
      </w:r>
      <w:r>
        <w:rPr>
          <w:rFonts w:ascii="Times New Roman" w:hAnsi="Times New Roman"/>
          <w:sz w:val="24"/>
        </w:rPr>
        <w:t xml:space="preserve">in de beslotenheid van </w:t>
      </w:r>
      <w:r w:rsidR="009F2A72">
        <w:rPr>
          <w:rFonts w:ascii="Times New Roman" w:hAnsi="Times New Roman"/>
          <w:sz w:val="24"/>
        </w:rPr>
        <w:t>een</w:t>
      </w:r>
      <w:r>
        <w:rPr>
          <w:rFonts w:ascii="Times New Roman" w:hAnsi="Times New Roman"/>
          <w:sz w:val="24"/>
        </w:rPr>
        <w:t xml:space="preserve"> huiskamer. </w:t>
      </w:r>
    </w:p>
    <w:p w:rsidR="008D18ED" w:rsidRDefault="00803CD8" w:rsidP="005D44DE">
      <w:pPr>
        <w:rPr>
          <w:rFonts w:ascii="Times New Roman" w:hAnsi="Times New Roman"/>
          <w:sz w:val="24"/>
        </w:rPr>
      </w:pPr>
      <w:r>
        <w:rPr>
          <w:rFonts w:ascii="Times New Roman" w:hAnsi="Times New Roman"/>
          <w:sz w:val="24"/>
        </w:rPr>
        <w:t>Voor</w:t>
      </w:r>
      <w:r w:rsidR="001C7670">
        <w:rPr>
          <w:rFonts w:ascii="Times New Roman" w:hAnsi="Times New Roman"/>
          <w:sz w:val="24"/>
        </w:rPr>
        <w:t xml:space="preserve"> </w:t>
      </w:r>
      <w:r w:rsidR="00E77F0A">
        <w:rPr>
          <w:rFonts w:ascii="Times New Roman" w:hAnsi="Times New Roman"/>
          <w:sz w:val="24"/>
        </w:rPr>
        <w:t xml:space="preserve">belediging van een bevriend staatshoofd is </w:t>
      </w:r>
      <w:r w:rsidR="00DE568C">
        <w:rPr>
          <w:rFonts w:ascii="Times New Roman" w:hAnsi="Times New Roman"/>
          <w:sz w:val="24"/>
        </w:rPr>
        <w:t xml:space="preserve">alleen </w:t>
      </w:r>
      <w:r w:rsidR="00E77F0A">
        <w:rPr>
          <w:rFonts w:ascii="Times New Roman" w:hAnsi="Times New Roman"/>
          <w:sz w:val="24"/>
        </w:rPr>
        <w:t xml:space="preserve">vereist dat hij </w:t>
      </w:r>
      <w:r w:rsidR="00E77F0A" w:rsidRPr="00E77F0A">
        <w:rPr>
          <w:rFonts w:ascii="Times New Roman" w:hAnsi="Times New Roman"/>
          <w:sz w:val="24"/>
        </w:rPr>
        <w:t>in de uitoefening van zijn ambt in Nederland verblij</w:t>
      </w:r>
      <w:r w:rsidR="00E77F0A">
        <w:rPr>
          <w:rFonts w:ascii="Times New Roman" w:hAnsi="Times New Roman"/>
          <w:sz w:val="24"/>
        </w:rPr>
        <w:t>ft.</w:t>
      </w:r>
      <w:r w:rsidR="00CD56C0">
        <w:rPr>
          <w:rFonts w:ascii="Times New Roman" w:hAnsi="Times New Roman"/>
          <w:sz w:val="24"/>
        </w:rPr>
        <w:t xml:space="preserve"> Ook daarbij ontbreekt dus het openbaarheids- c.q. kenbaarheidsvereiste dat vereist is bij commune beledigingsdelicten.</w:t>
      </w:r>
    </w:p>
    <w:p w:rsidR="00E77F0A" w:rsidRDefault="00E77F0A" w:rsidP="005D44DE">
      <w:pPr>
        <w:rPr>
          <w:rFonts w:ascii="Times New Roman" w:hAnsi="Times New Roman"/>
          <w:sz w:val="24"/>
        </w:rPr>
      </w:pPr>
    </w:p>
    <w:p w:rsidR="008A0162" w:rsidRPr="00CF282F" w:rsidRDefault="00C817D5" w:rsidP="005D44DE">
      <w:pPr>
        <w:rPr>
          <w:rFonts w:ascii="Times New Roman" w:hAnsi="Times New Roman"/>
          <w:i/>
          <w:sz w:val="24"/>
        </w:rPr>
      </w:pPr>
      <w:r>
        <w:rPr>
          <w:rFonts w:ascii="Times New Roman" w:hAnsi="Times New Roman"/>
          <w:i/>
          <w:sz w:val="24"/>
        </w:rPr>
        <w:lastRenderedPageBreak/>
        <w:t>3.</w:t>
      </w:r>
      <w:r w:rsidR="00F47070">
        <w:rPr>
          <w:rFonts w:ascii="Times New Roman" w:hAnsi="Times New Roman"/>
          <w:i/>
          <w:sz w:val="24"/>
        </w:rPr>
        <w:t>3</w:t>
      </w:r>
      <w:r>
        <w:rPr>
          <w:rFonts w:ascii="Times New Roman" w:hAnsi="Times New Roman"/>
          <w:i/>
          <w:sz w:val="24"/>
        </w:rPr>
        <w:t xml:space="preserve">. </w:t>
      </w:r>
      <w:r w:rsidR="008A0162" w:rsidRPr="00CF282F">
        <w:rPr>
          <w:rFonts w:ascii="Times New Roman" w:hAnsi="Times New Roman"/>
          <w:i/>
          <w:sz w:val="24"/>
        </w:rPr>
        <w:t xml:space="preserve">Strafmaat </w:t>
      </w:r>
    </w:p>
    <w:p w:rsidR="004A1E4C" w:rsidRPr="00CF282F" w:rsidRDefault="004A1E4C" w:rsidP="005D44DE">
      <w:pPr>
        <w:rPr>
          <w:rFonts w:ascii="Times New Roman" w:hAnsi="Times New Roman"/>
          <w:i/>
          <w:sz w:val="24"/>
        </w:rPr>
      </w:pPr>
    </w:p>
    <w:p w:rsidR="00D71CB6" w:rsidRDefault="00450C79" w:rsidP="004A1E4C">
      <w:pPr>
        <w:rPr>
          <w:rFonts w:ascii="Times New Roman" w:hAnsi="Times New Roman"/>
          <w:sz w:val="24"/>
        </w:rPr>
      </w:pPr>
      <w:r w:rsidRPr="00450C79">
        <w:rPr>
          <w:rFonts w:ascii="Times New Roman" w:hAnsi="Times New Roman"/>
          <w:sz w:val="24"/>
        </w:rPr>
        <w:t>Wie de Koning beledigt, kan daarvoor strafrechtelijk zwaar aangepakt worden. Op opzettelijke belediging van de Koning staat een gevangenisstraf van ten hoog</w:t>
      </w:r>
      <w:r w:rsidR="00396F01">
        <w:rPr>
          <w:rFonts w:ascii="Times New Roman" w:hAnsi="Times New Roman"/>
          <w:sz w:val="24"/>
        </w:rPr>
        <w:t>s</w:t>
      </w:r>
      <w:r w:rsidRPr="00450C79">
        <w:rPr>
          <w:rFonts w:ascii="Times New Roman" w:hAnsi="Times New Roman"/>
          <w:sz w:val="24"/>
        </w:rPr>
        <w:t xml:space="preserve">te vijf jaar of een geldboete in de vierde categorie (momenteel </w:t>
      </w:r>
      <w:r w:rsidR="00E77F0A">
        <w:rPr>
          <w:rFonts w:ascii="Times New Roman" w:hAnsi="Times New Roman"/>
          <w:sz w:val="24"/>
        </w:rPr>
        <w:t xml:space="preserve">€ </w:t>
      </w:r>
      <w:r w:rsidRPr="00450C79">
        <w:rPr>
          <w:rFonts w:ascii="Times New Roman" w:hAnsi="Times New Roman"/>
          <w:sz w:val="24"/>
        </w:rPr>
        <w:t xml:space="preserve">20.500). </w:t>
      </w:r>
    </w:p>
    <w:p w:rsidR="00D71CB6" w:rsidRDefault="00450C79" w:rsidP="004A1E4C">
      <w:pPr>
        <w:rPr>
          <w:rFonts w:ascii="Times New Roman" w:hAnsi="Times New Roman"/>
          <w:sz w:val="24"/>
        </w:rPr>
      </w:pPr>
      <w:r w:rsidRPr="00450C79">
        <w:rPr>
          <w:rFonts w:ascii="Times New Roman" w:hAnsi="Times New Roman"/>
          <w:sz w:val="24"/>
        </w:rPr>
        <w:t>Opzettelijke belediging van de echtgenoot van de Koning, van de vermoedelijke opvolger van de Koning, van diens echtgenoot, of van de Regent</w:t>
      </w:r>
      <w:r w:rsidR="000535AD">
        <w:rPr>
          <w:rFonts w:ascii="Times New Roman" w:hAnsi="Times New Roman"/>
          <w:sz w:val="24"/>
        </w:rPr>
        <w:t>,</w:t>
      </w:r>
      <w:r w:rsidRPr="00450C79">
        <w:rPr>
          <w:rFonts w:ascii="Times New Roman" w:hAnsi="Times New Roman"/>
          <w:sz w:val="24"/>
        </w:rPr>
        <w:t xml:space="preserve"> levert een even</w:t>
      </w:r>
      <w:r w:rsidR="000535AD">
        <w:rPr>
          <w:rFonts w:ascii="Times New Roman" w:hAnsi="Times New Roman"/>
          <w:sz w:val="24"/>
        </w:rPr>
        <w:t xml:space="preserve"> </w:t>
      </w:r>
      <w:r w:rsidRPr="00450C79">
        <w:rPr>
          <w:rFonts w:ascii="Times New Roman" w:hAnsi="Times New Roman"/>
          <w:sz w:val="24"/>
        </w:rPr>
        <w:t xml:space="preserve">zo hoog boetemaximum op of een gevangenisstraf van ten hoogte vier jaar. </w:t>
      </w:r>
    </w:p>
    <w:p w:rsidR="00D71CB6" w:rsidRDefault="00450C79" w:rsidP="004A1E4C">
      <w:pPr>
        <w:rPr>
          <w:rFonts w:ascii="Times New Roman" w:hAnsi="Times New Roman"/>
          <w:sz w:val="24"/>
        </w:rPr>
      </w:pPr>
      <w:r w:rsidRPr="00450C79">
        <w:rPr>
          <w:rFonts w:ascii="Times New Roman" w:hAnsi="Times New Roman"/>
          <w:sz w:val="24"/>
        </w:rPr>
        <w:t xml:space="preserve">Het verspreiden van een geschrift of afbeelding waarin een belediging van een van deze personen voorkomt, kan bestraft worden met een gevangenisstraf van ten hoogte een jaar of een geldboete in de derde categorie (momenteel </w:t>
      </w:r>
      <w:r w:rsidR="00E77F0A">
        <w:rPr>
          <w:rFonts w:ascii="Times New Roman" w:hAnsi="Times New Roman"/>
          <w:sz w:val="24"/>
        </w:rPr>
        <w:t xml:space="preserve">€ </w:t>
      </w:r>
      <w:r w:rsidRPr="00450C79">
        <w:rPr>
          <w:rFonts w:ascii="Times New Roman" w:hAnsi="Times New Roman"/>
          <w:sz w:val="24"/>
        </w:rPr>
        <w:t xml:space="preserve">8.200). </w:t>
      </w:r>
    </w:p>
    <w:p w:rsidR="00D71CB6" w:rsidRDefault="00D71CB6" w:rsidP="004A1E4C">
      <w:pPr>
        <w:rPr>
          <w:rFonts w:ascii="Times New Roman" w:hAnsi="Times New Roman"/>
          <w:sz w:val="24"/>
        </w:rPr>
      </w:pPr>
    </w:p>
    <w:p w:rsidR="00D71CB6" w:rsidRPr="00D71CB6" w:rsidRDefault="00D71CB6" w:rsidP="00D71CB6">
      <w:pPr>
        <w:rPr>
          <w:rFonts w:ascii="Times New Roman" w:hAnsi="Times New Roman"/>
          <w:sz w:val="24"/>
        </w:rPr>
      </w:pPr>
      <w:r w:rsidRPr="00D71CB6">
        <w:rPr>
          <w:rFonts w:ascii="Times New Roman" w:hAnsi="Times New Roman"/>
          <w:sz w:val="24"/>
        </w:rPr>
        <w:t>Opzettelijke belediging van het hoofd of een lid van de regering van een bevriende staat,</w:t>
      </w:r>
      <w:r w:rsidR="00396F01">
        <w:rPr>
          <w:rFonts w:ascii="Times New Roman" w:hAnsi="Times New Roman"/>
          <w:sz w:val="24"/>
        </w:rPr>
        <w:t xml:space="preserve"> die</w:t>
      </w:r>
      <w:r w:rsidRPr="00D71CB6">
        <w:rPr>
          <w:rFonts w:ascii="Times New Roman" w:hAnsi="Times New Roman"/>
          <w:sz w:val="24"/>
        </w:rPr>
        <w:t xml:space="preserve"> in de uitoefening van zijn ambt in Nederland verblij</w:t>
      </w:r>
      <w:r w:rsidR="00396F01">
        <w:rPr>
          <w:rFonts w:ascii="Times New Roman" w:hAnsi="Times New Roman"/>
          <w:sz w:val="24"/>
        </w:rPr>
        <w:t>ft</w:t>
      </w:r>
      <w:r w:rsidRPr="00D71CB6">
        <w:rPr>
          <w:rFonts w:ascii="Times New Roman" w:hAnsi="Times New Roman"/>
          <w:sz w:val="24"/>
        </w:rPr>
        <w:t xml:space="preserve">, </w:t>
      </w:r>
      <w:r>
        <w:rPr>
          <w:rFonts w:ascii="Times New Roman" w:hAnsi="Times New Roman"/>
          <w:sz w:val="24"/>
        </w:rPr>
        <w:t xml:space="preserve">of van </w:t>
      </w:r>
      <w:r w:rsidRPr="00D71CB6">
        <w:rPr>
          <w:rFonts w:ascii="Times New Roman" w:hAnsi="Times New Roman"/>
          <w:sz w:val="24"/>
        </w:rPr>
        <w:t>een officieel bij de Nederlandse regering toegelaten vertegenwoordiger van een bevriende staat in diens hoedanigheid</w:t>
      </w:r>
      <w:r>
        <w:rPr>
          <w:rFonts w:ascii="Times New Roman" w:hAnsi="Times New Roman"/>
          <w:sz w:val="24"/>
        </w:rPr>
        <w:t xml:space="preserve">, </w:t>
      </w:r>
      <w:r w:rsidRPr="00D71CB6">
        <w:rPr>
          <w:rFonts w:ascii="Times New Roman" w:hAnsi="Times New Roman"/>
          <w:sz w:val="24"/>
        </w:rPr>
        <w:t xml:space="preserve">wordt gestraft met gevangenisstraf van ten hoogste twee jaren of </w:t>
      </w:r>
      <w:r w:rsidR="00396F01">
        <w:rPr>
          <w:rFonts w:ascii="Times New Roman" w:hAnsi="Times New Roman"/>
          <w:sz w:val="24"/>
        </w:rPr>
        <w:t xml:space="preserve">een </w:t>
      </w:r>
      <w:r w:rsidRPr="00D71CB6">
        <w:rPr>
          <w:rFonts w:ascii="Times New Roman" w:hAnsi="Times New Roman"/>
          <w:sz w:val="24"/>
        </w:rPr>
        <w:t>geldboete van de vierde categorie</w:t>
      </w:r>
      <w:r w:rsidRPr="00D71CB6">
        <w:t xml:space="preserve"> </w:t>
      </w:r>
      <w:r w:rsidRPr="00D71CB6">
        <w:rPr>
          <w:rFonts w:ascii="Times New Roman" w:hAnsi="Times New Roman"/>
          <w:sz w:val="24"/>
        </w:rPr>
        <w:t xml:space="preserve">(momenteel </w:t>
      </w:r>
      <w:r w:rsidR="00E77F0A">
        <w:rPr>
          <w:rFonts w:ascii="Times New Roman" w:hAnsi="Times New Roman"/>
          <w:sz w:val="24"/>
        </w:rPr>
        <w:t xml:space="preserve">€ </w:t>
      </w:r>
      <w:r w:rsidRPr="00D71CB6">
        <w:rPr>
          <w:rFonts w:ascii="Times New Roman" w:hAnsi="Times New Roman"/>
          <w:sz w:val="24"/>
        </w:rPr>
        <w:t>20.500).</w:t>
      </w:r>
    </w:p>
    <w:p w:rsidR="00CD56C0" w:rsidRDefault="00CD56C0" w:rsidP="00CD56C0">
      <w:pPr>
        <w:rPr>
          <w:rFonts w:ascii="Times New Roman" w:hAnsi="Times New Roman"/>
          <w:i/>
          <w:sz w:val="24"/>
        </w:rPr>
      </w:pPr>
      <w:r>
        <w:rPr>
          <w:rFonts w:ascii="Times New Roman" w:hAnsi="Times New Roman"/>
          <w:sz w:val="24"/>
        </w:rPr>
        <w:t>Hierover zei d</w:t>
      </w:r>
      <w:r w:rsidRPr="00450C79">
        <w:rPr>
          <w:rFonts w:ascii="Times New Roman" w:hAnsi="Times New Roman"/>
          <w:sz w:val="24"/>
        </w:rPr>
        <w:t>e werkgroep-Langemeijer al in 1969</w:t>
      </w:r>
      <w:r>
        <w:rPr>
          <w:rFonts w:ascii="Times New Roman" w:hAnsi="Times New Roman"/>
          <w:sz w:val="24"/>
        </w:rPr>
        <w:t>,</w:t>
      </w:r>
      <w:r w:rsidRPr="00450C79">
        <w:rPr>
          <w:rFonts w:ascii="Times New Roman" w:hAnsi="Times New Roman"/>
          <w:sz w:val="24"/>
        </w:rPr>
        <w:t xml:space="preserve"> </w:t>
      </w:r>
      <w:r>
        <w:rPr>
          <w:rFonts w:ascii="Times New Roman" w:hAnsi="Times New Roman"/>
          <w:sz w:val="24"/>
        </w:rPr>
        <w:t>in zijn</w:t>
      </w:r>
      <w:r w:rsidRPr="00450C79">
        <w:rPr>
          <w:rFonts w:ascii="Times New Roman" w:hAnsi="Times New Roman"/>
          <w:sz w:val="24"/>
        </w:rPr>
        <w:t xml:space="preserve"> onderzoek naar de strafbaarheid van het beledigen van bevriende staatshoofden: ‘</w:t>
      </w:r>
      <w:r w:rsidRPr="00450C79">
        <w:rPr>
          <w:rFonts w:ascii="Times New Roman" w:hAnsi="Times New Roman"/>
          <w:i/>
          <w:sz w:val="24"/>
        </w:rPr>
        <w:t>De strafmaat van gevangenisstraf van ten hoogste vier jaren [moet] thans onevenredig hoog [..] worden geacht. Men kan veilig stellen dat ten tijde van de invoering van het wetboek de eerbied voor het staatshoofd als nationaal symbool gepaard ging met een verering van diens persoon, die in de tegenwoordige tijd niet meer in die mate wordt beleefd.’</w:t>
      </w:r>
      <w:r w:rsidRPr="00B84CC5">
        <w:rPr>
          <w:rFonts w:ascii="Times New Roman" w:hAnsi="Times New Roman"/>
          <w:sz w:val="24"/>
          <w:vertAlign w:val="superscript"/>
        </w:rPr>
        <w:footnoteReference w:id="23"/>
      </w:r>
      <w:r w:rsidRPr="00450C79">
        <w:rPr>
          <w:rFonts w:ascii="Times New Roman" w:hAnsi="Times New Roman"/>
          <w:i/>
          <w:sz w:val="24"/>
        </w:rPr>
        <w:t xml:space="preserve"> </w:t>
      </w:r>
    </w:p>
    <w:p w:rsidR="00CD56C0" w:rsidRDefault="00CD56C0" w:rsidP="00BD66C5">
      <w:pPr>
        <w:rPr>
          <w:rFonts w:ascii="Times New Roman" w:hAnsi="Times New Roman"/>
          <w:sz w:val="24"/>
        </w:rPr>
      </w:pPr>
    </w:p>
    <w:p w:rsidR="00D71CB6" w:rsidRPr="00D71CB6" w:rsidRDefault="00BD66C5" w:rsidP="00BD66C5">
      <w:pPr>
        <w:rPr>
          <w:rFonts w:ascii="Times New Roman" w:hAnsi="Times New Roman"/>
          <w:sz w:val="24"/>
        </w:rPr>
      </w:pPr>
      <w:r>
        <w:rPr>
          <w:rFonts w:ascii="Times New Roman" w:hAnsi="Times New Roman"/>
          <w:sz w:val="24"/>
        </w:rPr>
        <w:t xml:space="preserve">Het verspreiden van </w:t>
      </w:r>
      <w:r w:rsidR="00D71CB6" w:rsidRPr="00D71CB6">
        <w:rPr>
          <w:rFonts w:ascii="Times New Roman" w:hAnsi="Times New Roman"/>
          <w:sz w:val="24"/>
        </w:rPr>
        <w:t xml:space="preserve">een geschrift of afbeelding waarin een belediging </w:t>
      </w:r>
      <w:r>
        <w:rPr>
          <w:rFonts w:ascii="Times New Roman" w:hAnsi="Times New Roman"/>
          <w:sz w:val="24"/>
        </w:rPr>
        <w:t xml:space="preserve">van een van deze personen </w:t>
      </w:r>
      <w:r w:rsidR="00D71CB6" w:rsidRPr="00D71CB6">
        <w:rPr>
          <w:rFonts w:ascii="Times New Roman" w:hAnsi="Times New Roman"/>
          <w:sz w:val="24"/>
        </w:rPr>
        <w:t xml:space="preserve">voorkomt </w:t>
      </w:r>
      <w:r>
        <w:rPr>
          <w:rFonts w:ascii="Times New Roman" w:hAnsi="Times New Roman"/>
          <w:sz w:val="24"/>
        </w:rPr>
        <w:t xml:space="preserve">wordt </w:t>
      </w:r>
      <w:r w:rsidR="00D71CB6" w:rsidRPr="00D71CB6">
        <w:rPr>
          <w:rFonts w:ascii="Times New Roman" w:hAnsi="Times New Roman"/>
          <w:sz w:val="24"/>
        </w:rPr>
        <w:t>gestraft met gevangenisstraf van ten hoogste zes maanden of geldboete van de derde categorie</w:t>
      </w:r>
      <w:r w:rsidR="00DE568C">
        <w:rPr>
          <w:rFonts w:ascii="Times New Roman" w:hAnsi="Times New Roman"/>
          <w:sz w:val="24"/>
        </w:rPr>
        <w:t xml:space="preserve"> </w:t>
      </w:r>
      <w:r w:rsidR="00DE568C" w:rsidRPr="00DE568C">
        <w:rPr>
          <w:rFonts w:ascii="Times New Roman" w:hAnsi="Times New Roman"/>
          <w:sz w:val="24"/>
        </w:rPr>
        <w:t>(momenteel € 8.200)</w:t>
      </w:r>
      <w:r w:rsidR="00D71CB6" w:rsidRPr="00D71CB6">
        <w:rPr>
          <w:rFonts w:ascii="Times New Roman" w:hAnsi="Times New Roman"/>
          <w:sz w:val="24"/>
        </w:rPr>
        <w:t>.</w:t>
      </w:r>
    </w:p>
    <w:p w:rsidR="00BD66C5" w:rsidRDefault="00BD66C5" w:rsidP="004A1E4C">
      <w:pPr>
        <w:rPr>
          <w:rFonts w:ascii="Times New Roman" w:hAnsi="Times New Roman"/>
          <w:i/>
          <w:sz w:val="24"/>
        </w:rPr>
      </w:pPr>
    </w:p>
    <w:p w:rsidR="009F2A72" w:rsidRDefault="00396F01" w:rsidP="004A1E4C">
      <w:pPr>
        <w:rPr>
          <w:rFonts w:ascii="Times New Roman" w:hAnsi="Times New Roman"/>
          <w:sz w:val="24"/>
        </w:rPr>
      </w:pPr>
      <w:r>
        <w:rPr>
          <w:rFonts w:ascii="Times New Roman" w:hAnsi="Times New Roman"/>
          <w:sz w:val="24"/>
        </w:rPr>
        <w:t>Een v</w:t>
      </w:r>
      <w:r w:rsidR="00450C79" w:rsidRPr="00450C79">
        <w:rPr>
          <w:rFonts w:ascii="Times New Roman" w:hAnsi="Times New Roman"/>
          <w:sz w:val="24"/>
        </w:rPr>
        <w:t>er</w:t>
      </w:r>
      <w:r w:rsidR="00A50671">
        <w:rPr>
          <w:rFonts w:ascii="Times New Roman" w:hAnsi="Times New Roman"/>
          <w:sz w:val="24"/>
        </w:rPr>
        <w:t xml:space="preserve">gelijking met de strafmaat bij de commune beledigingsdelicten </w:t>
      </w:r>
      <w:r w:rsidR="00450C79" w:rsidRPr="00450C79">
        <w:rPr>
          <w:rFonts w:ascii="Times New Roman" w:hAnsi="Times New Roman"/>
          <w:sz w:val="24"/>
        </w:rPr>
        <w:t>laat zien</w:t>
      </w:r>
      <w:r w:rsidR="00A50671">
        <w:rPr>
          <w:rFonts w:ascii="Times New Roman" w:hAnsi="Times New Roman"/>
          <w:sz w:val="24"/>
        </w:rPr>
        <w:t>,</w:t>
      </w:r>
      <w:r w:rsidR="00450C79" w:rsidRPr="00450C79">
        <w:rPr>
          <w:rFonts w:ascii="Times New Roman" w:hAnsi="Times New Roman"/>
          <w:sz w:val="24"/>
        </w:rPr>
        <w:t xml:space="preserve"> dat </w:t>
      </w:r>
      <w:r w:rsidR="00A50671">
        <w:rPr>
          <w:rFonts w:ascii="Times New Roman" w:hAnsi="Times New Roman"/>
          <w:sz w:val="24"/>
        </w:rPr>
        <w:t xml:space="preserve">er </w:t>
      </w:r>
      <w:r>
        <w:rPr>
          <w:rFonts w:ascii="Times New Roman" w:hAnsi="Times New Roman"/>
          <w:sz w:val="24"/>
        </w:rPr>
        <w:t>zevenen</w:t>
      </w:r>
      <w:r w:rsidR="00450C79" w:rsidRPr="00450C79">
        <w:rPr>
          <w:rFonts w:ascii="Times New Roman" w:hAnsi="Times New Roman"/>
          <w:sz w:val="24"/>
        </w:rPr>
        <w:t>veertig jaar na dit inzi</w:t>
      </w:r>
      <w:r w:rsidR="00A50671">
        <w:rPr>
          <w:rFonts w:ascii="Times New Roman" w:hAnsi="Times New Roman"/>
          <w:sz w:val="24"/>
        </w:rPr>
        <w:t>cht nog weinig veranderd is. De maximale gevangenisstraf voor majesteitsschennis is twee</w:t>
      </w:r>
      <w:r w:rsidR="00DE568C">
        <w:rPr>
          <w:rFonts w:ascii="Times New Roman" w:hAnsi="Times New Roman"/>
          <w:sz w:val="24"/>
        </w:rPr>
        <w:t xml:space="preserve">ëneenhalf </w:t>
      </w:r>
      <w:r w:rsidR="00A50671">
        <w:rPr>
          <w:rFonts w:ascii="Times New Roman" w:hAnsi="Times New Roman"/>
          <w:sz w:val="24"/>
        </w:rPr>
        <w:t xml:space="preserve"> keer zo lang als het maximum voor het </w:t>
      </w:r>
      <w:r w:rsidR="00A903A9">
        <w:rPr>
          <w:rFonts w:ascii="Times New Roman" w:hAnsi="Times New Roman"/>
          <w:sz w:val="24"/>
        </w:rPr>
        <w:t>zwaarste commune beledigingsdelict</w:t>
      </w:r>
      <w:r w:rsidR="00A50671">
        <w:rPr>
          <w:rFonts w:ascii="Times New Roman" w:hAnsi="Times New Roman"/>
          <w:sz w:val="24"/>
        </w:rPr>
        <w:t xml:space="preserve">, laster: </w:t>
      </w:r>
      <w:r w:rsidR="00A903A9" w:rsidRPr="00A903A9">
        <w:rPr>
          <w:rFonts w:ascii="Times New Roman" w:hAnsi="Times New Roman"/>
          <w:sz w:val="24"/>
        </w:rPr>
        <w:t>twee jaren</w:t>
      </w:r>
      <w:r w:rsidR="00450C79" w:rsidRPr="00450C79">
        <w:rPr>
          <w:rFonts w:ascii="Times New Roman" w:hAnsi="Times New Roman"/>
          <w:sz w:val="24"/>
        </w:rPr>
        <w:t>.</w:t>
      </w:r>
      <w:r w:rsidR="00A50671">
        <w:rPr>
          <w:rFonts w:ascii="Times New Roman" w:hAnsi="Times New Roman"/>
          <w:sz w:val="24"/>
        </w:rPr>
        <w:t xml:space="preserve"> Laster en smaad zijn echter in gevallen van majesteitsschennis zelden of nooit aan de orde. Daarom is het juister de strafmaxima voor majesteitsschennis te vergelijken met die voor eenvoudige belediging: g</w:t>
      </w:r>
      <w:r w:rsidR="00A50671" w:rsidRPr="00A50671">
        <w:rPr>
          <w:rFonts w:ascii="Times New Roman" w:hAnsi="Times New Roman"/>
          <w:sz w:val="24"/>
        </w:rPr>
        <w:t>evangenisstraf van ten hoogste drie maanden of geldboete van de tweede categorie</w:t>
      </w:r>
      <w:r w:rsidR="00A50671">
        <w:rPr>
          <w:rFonts w:ascii="Times New Roman" w:hAnsi="Times New Roman"/>
          <w:sz w:val="24"/>
        </w:rPr>
        <w:t xml:space="preserve"> (momenteel € 4.</w:t>
      </w:r>
      <w:r w:rsidR="001F78FB">
        <w:rPr>
          <w:rFonts w:ascii="Times New Roman" w:hAnsi="Times New Roman"/>
          <w:sz w:val="24"/>
        </w:rPr>
        <w:t>100</w:t>
      </w:r>
      <w:r w:rsidR="00A50671">
        <w:rPr>
          <w:rFonts w:ascii="Times New Roman" w:hAnsi="Times New Roman"/>
          <w:sz w:val="24"/>
        </w:rPr>
        <w:t>)</w:t>
      </w:r>
      <w:r w:rsidR="00A50671" w:rsidRPr="00A50671">
        <w:rPr>
          <w:rFonts w:ascii="Times New Roman" w:hAnsi="Times New Roman"/>
          <w:sz w:val="24"/>
        </w:rPr>
        <w:t>.</w:t>
      </w:r>
      <w:r w:rsidR="00A50671">
        <w:rPr>
          <w:rFonts w:ascii="Times New Roman" w:hAnsi="Times New Roman"/>
          <w:sz w:val="24"/>
        </w:rPr>
        <w:t xml:space="preserve"> </w:t>
      </w:r>
    </w:p>
    <w:p w:rsidR="004A1E4C" w:rsidRPr="00CF282F" w:rsidRDefault="009F2A72" w:rsidP="004A1E4C">
      <w:pPr>
        <w:rPr>
          <w:rFonts w:ascii="Times New Roman" w:hAnsi="Times New Roman"/>
          <w:sz w:val="24"/>
        </w:rPr>
      </w:pPr>
      <w:r>
        <w:rPr>
          <w:rFonts w:ascii="Times New Roman" w:hAnsi="Times New Roman"/>
          <w:sz w:val="24"/>
        </w:rPr>
        <w:t xml:space="preserve">Dat levert een enorm verschil op met de maxima voor majesteitsschennis: een </w:t>
      </w:r>
      <w:r w:rsidRPr="00AF40C7">
        <w:rPr>
          <w:rFonts w:ascii="Times New Roman" w:hAnsi="Times New Roman"/>
          <w:i/>
          <w:sz w:val="24"/>
        </w:rPr>
        <w:t>twintig</w:t>
      </w:r>
      <w:r>
        <w:rPr>
          <w:rFonts w:ascii="Times New Roman" w:hAnsi="Times New Roman"/>
          <w:sz w:val="24"/>
        </w:rPr>
        <w:t xml:space="preserve"> maal zo hoge gevangenisstraf en een </w:t>
      </w:r>
      <w:r w:rsidRPr="00AF40C7">
        <w:rPr>
          <w:rFonts w:ascii="Times New Roman" w:hAnsi="Times New Roman"/>
          <w:i/>
          <w:sz w:val="24"/>
        </w:rPr>
        <w:t>vijf</w:t>
      </w:r>
      <w:r>
        <w:rPr>
          <w:rFonts w:ascii="Times New Roman" w:hAnsi="Times New Roman"/>
          <w:sz w:val="24"/>
        </w:rPr>
        <w:t xml:space="preserve"> maal zo hoge geldboete. </w:t>
      </w:r>
      <w:r w:rsidR="00450C79" w:rsidRPr="00450C79">
        <w:rPr>
          <w:rFonts w:ascii="Times New Roman" w:hAnsi="Times New Roman"/>
          <w:sz w:val="24"/>
        </w:rPr>
        <w:t xml:space="preserve">Voor </w:t>
      </w:r>
      <w:r>
        <w:rPr>
          <w:rFonts w:ascii="Times New Roman" w:hAnsi="Times New Roman"/>
          <w:sz w:val="24"/>
        </w:rPr>
        <w:t xml:space="preserve">dit </w:t>
      </w:r>
      <w:r w:rsidR="00A50671">
        <w:rPr>
          <w:rFonts w:ascii="Times New Roman" w:hAnsi="Times New Roman"/>
          <w:sz w:val="24"/>
        </w:rPr>
        <w:t xml:space="preserve">enorme verschil </w:t>
      </w:r>
      <w:r w:rsidR="00450C79" w:rsidRPr="00450C79">
        <w:rPr>
          <w:rFonts w:ascii="Times New Roman" w:hAnsi="Times New Roman"/>
          <w:sz w:val="24"/>
        </w:rPr>
        <w:t>bestaat geen houdbare rechtvaardiging.</w:t>
      </w:r>
    </w:p>
    <w:p w:rsidR="00450C79" w:rsidRDefault="00450C79" w:rsidP="004A1E4C">
      <w:pPr>
        <w:rPr>
          <w:rFonts w:ascii="Times New Roman" w:hAnsi="Times New Roman"/>
          <w:i/>
          <w:sz w:val="24"/>
        </w:rPr>
      </w:pPr>
    </w:p>
    <w:p w:rsidR="004A1E4C" w:rsidRPr="00CF282F" w:rsidRDefault="00C817D5" w:rsidP="004A1E4C">
      <w:pPr>
        <w:rPr>
          <w:rFonts w:ascii="Times New Roman" w:hAnsi="Times New Roman"/>
          <w:i/>
          <w:sz w:val="24"/>
        </w:rPr>
      </w:pPr>
      <w:r>
        <w:rPr>
          <w:rFonts w:ascii="Times New Roman" w:hAnsi="Times New Roman"/>
          <w:i/>
          <w:sz w:val="24"/>
        </w:rPr>
        <w:t>3.</w:t>
      </w:r>
      <w:r w:rsidR="00F47070">
        <w:rPr>
          <w:rFonts w:ascii="Times New Roman" w:hAnsi="Times New Roman"/>
          <w:i/>
          <w:sz w:val="24"/>
        </w:rPr>
        <w:t>4</w:t>
      </w:r>
      <w:r>
        <w:rPr>
          <w:rFonts w:ascii="Times New Roman" w:hAnsi="Times New Roman"/>
          <w:i/>
          <w:sz w:val="24"/>
        </w:rPr>
        <w:t xml:space="preserve">. </w:t>
      </w:r>
      <w:r w:rsidR="00BD66C5">
        <w:rPr>
          <w:rFonts w:ascii="Times New Roman" w:hAnsi="Times New Roman"/>
          <w:i/>
          <w:sz w:val="24"/>
        </w:rPr>
        <w:t>Bijkomende straffen</w:t>
      </w:r>
    </w:p>
    <w:p w:rsidR="004A1E4C" w:rsidRDefault="004A1E4C" w:rsidP="004A1E4C">
      <w:pPr>
        <w:rPr>
          <w:rFonts w:ascii="Times New Roman" w:hAnsi="Times New Roman"/>
          <w:sz w:val="24"/>
        </w:rPr>
      </w:pPr>
    </w:p>
    <w:p w:rsidR="00BD66C5" w:rsidRDefault="00BD66C5" w:rsidP="00BD66C5">
      <w:pPr>
        <w:rPr>
          <w:rFonts w:ascii="Times New Roman" w:hAnsi="Times New Roman"/>
          <w:sz w:val="24"/>
        </w:rPr>
      </w:pPr>
      <w:r>
        <w:rPr>
          <w:rFonts w:ascii="Times New Roman" w:hAnsi="Times New Roman"/>
          <w:sz w:val="24"/>
        </w:rPr>
        <w:t xml:space="preserve">Wie veroordeeld wordt voor majesteitsschennis kan, onafhankelijk van de zwaarte van de opgelegde straf, als bijkomende straf </w:t>
      </w:r>
      <w:r w:rsidR="008D0D58">
        <w:rPr>
          <w:rFonts w:ascii="Times New Roman" w:hAnsi="Times New Roman"/>
          <w:sz w:val="24"/>
        </w:rPr>
        <w:t xml:space="preserve">worden </w:t>
      </w:r>
      <w:r>
        <w:rPr>
          <w:rFonts w:ascii="Times New Roman" w:hAnsi="Times New Roman"/>
          <w:sz w:val="24"/>
        </w:rPr>
        <w:t>o</w:t>
      </w:r>
      <w:r w:rsidR="008D0D58">
        <w:rPr>
          <w:rFonts w:ascii="Times New Roman" w:hAnsi="Times New Roman"/>
          <w:sz w:val="24"/>
        </w:rPr>
        <w:t>ntz</w:t>
      </w:r>
      <w:r>
        <w:rPr>
          <w:rFonts w:ascii="Times New Roman" w:hAnsi="Times New Roman"/>
          <w:sz w:val="24"/>
        </w:rPr>
        <w:t>et uit de volgende rechten:</w:t>
      </w:r>
    </w:p>
    <w:p w:rsidR="00BD66C5" w:rsidRPr="00BD66C5" w:rsidRDefault="00BD66C5" w:rsidP="00BD66C5">
      <w:pPr>
        <w:rPr>
          <w:rFonts w:ascii="Times New Roman" w:hAnsi="Times New Roman"/>
          <w:sz w:val="24"/>
        </w:rPr>
      </w:pPr>
      <w:r w:rsidRPr="00BD66C5">
        <w:rPr>
          <w:rFonts w:ascii="Times New Roman" w:hAnsi="Times New Roman"/>
          <w:sz w:val="24"/>
        </w:rPr>
        <w:t>1°. het bekleden van ambten of van bepaalde ambten;</w:t>
      </w:r>
    </w:p>
    <w:p w:rsidR="00BD66C5" w:rsidRPr="00BD66C5" w:rsidRDefault="00BD66C5" w:rsidP="00BD66C5">
      <w:pPr>
        <w:rPr>
          <w:rFonts w:ascii="Times New Roman" w:hAnsi="Times New Roman"/>
          <w:sz w:val="24"/>
        </w:rPr>
      </w:pPr>
      <w:r w:rsidRPr="00BD66C5">
        <w:rPr>
          <w:rFonts w:ascii="Times New Roman" w:hAnsi="Times New Roman"/>
          <w:sz w:val="24"/>
        </w:rPr>
        <w:t>2°. het dienen bij de gewapende macht;</w:t>
      </w:r>
    </w:p>
    <w:p w:rsidR="00BD66C5" w:rsidRDefault="00BD66C5" w:rsidP="00BD66C5">
      <w:pPr>
        <w:rPr>
          <w:rFonts w:ascii="Times New Roman" w:hAnsi="Times New Roman"/>
          <w:sz w:val="24"/>
        </w:rPr>
      </w:pPr>
      <w:r w:rsidRPr="00BD66C5">
        <w:rPr>
          <w:rFonts w:ascii="Times New Roman" w:hAnsi="Times New Roman"/>
          <w:sz w:val="24"/>
        </w:rPr>
        <w:t xml:space="preserve">3°. het recht de leden van algemeen vertegenwoordigende organen te verkiezen en tot lid van </w:t>
      </w:r>
      <w:r>
        <w:rPr>
          <w:rFonts w:ascii="Times New Roman" w:hAnsi="Times New Roman"/>
          <w:sz w:val="24"/>
        </w:rPr>
        <w:t>deze organen te worden verkozen.</w:t>
      </w:r>
    </w:p>
    <w:p w:rsidR="00BD66C5" w:rsidRDefault="00BD66C5" w:rsidP="00BD66C5">
      <w:pPr>
        <w:rPr>
          <w:rFonts w:ascii="Times New Roman" w:hAnsi="Times New Roman"/>
          <w:sz w:val="24"/>
        </w:rPr>
      </w:pPr>
      <w:r>
        <w:rPr>
          <w:rFonts w:ascii="Times New Roman" w:hAnsi="Times New Roman"/>
          <w:sz w:val="24"/>
        </w:rPr>
        <w:t>Bij veroordeling wegens belediging van een bevriend staatshoofd kan</w:t>
      </w:r>
      <w:r w:rsidR="00F14E1D">
        <w:rPr>
          <w:rFonts w:ascii="Times New Roman" w:hAnsi="Times New Roman"/>
          <w:sz w:val="24"/>
        </w:rPr>
        <w:t xml:space="preserve"> </w:t>
      </w:r>
      <w:r>
        <w:rPr>
          <w:rFonts w:ascii="Times New Roman" w:hAnsi="Times New Roman"/>
          <w:sz w:val="24"/>
        </w:rPr>
        <w:t xml:space="preserve">ontzetting uit de hiervoor onder </w:t>
      </w:r>
      <w:r w:rsidRPr="00BD66C5">
        <w:rPr>
          <w:rFonts w:ascii="Times New Roman" w:hAnsi="Times New Roman"/>
          <w:sz w:val="24"/>
        </w:rPr>
        <w:t xml:space="preserve">1° </w:t>
      </w:r>
      <w:r>
        <w:rPr>
          <w:rFonts w:ascii="Times New Roman" w:hAnsi="Times New Roman"/>
          <w:sz w:val="24"/>
        </w:rPr>
        <w:t xml:space="preserve">en </w:t>
      </w:r>
      <w:r w:rsidRPr="00BD66C5">
        <w:rPr>
          <w:rFonts w:ascii="Times New Roman" w:hAnsi="Times New Roman"/>
          <w:sz w:val="24"/>
        </w:rPr>
        <w:t>2°</w:t>
      </w:r>
      <w:r>
        <w:rPr>
          <w:rFonts w:ascii="Times New Roman" w:hAnsi="Times New Roman"/>
          <w:sz w:val="24"/>
        </w:rPr>
        <w:t xml:space="preserve"> genoemde rechten worden uitgesproken. </w:t>
      </w:r>
    </w:p>
    <w:p w:rsidR="00BD66C5" w:rsidRDefault="00BD66C5" w:rsidP="00BD66C5">
      <w:pPr>
        <w:rPr>
          <w:rFonts w:ascii="Times New Roman" w:hAnsi="Times New Roman"/>
          <w:sz w:val="24"/>
        </w:rPr>
      </w:pPr>
    </w:p>
    <w:p w:rsidR="00F14E1D" w:rsidRDefault="00F14E1D" w:rsidP="004A1E4C">
      <w:pPr>
        <w:rPr>
          <w:rFonts w:ascii="Times New Roman" w:hAnsi="Times New Roman"/>
          <w:sz w:val="24"/>
        </w:rPr>
      </w:pPr>
      <w:r>
        <w:rPr>
          <w:rFonts w:ascii="Times New Roman" w:hAnsi="Times New Roman"/>
          <w:sz w:val="24"/>
        </w:rPr>
        <w:t xml:space="preserve">Hiervoor geldt steeds dat dit onafhankelijk is van de zwaarte van de opgelegde straf, behalve voor het ontnemen van het actief en passief kiesrecht: ontzetting uit die rechten kan slechts worden uitgesproken bij veroordeling </w:t>
      </w:r>
      <w:r w:rsidRPr="00F14E1D">
        <w:rPr>
          <w:rFonts w:ascii="Times New Roman" w:hAnsi="Times New Roman"/>
          <w:sz w:val="24"/>
        </w:rPr>
        <w:t>tot gevangen</w:t>
      </w:r>
      <w:r>
        <w:rPr>
          <w:rFonts w:ascii="Times New Roman" w:hAnsi="Times New Roman"/>
          <w:sz w:val="24"/>
        </w:rPr>
        <w:t>isstraf van ten minste een jaar.</w:t>
      </w:r>
    </w:p>
    <w:p w:rsidR="00F14E1D" w:rsidRDefault="00F14E1D" w:rsidP="004A1E4C">
      <w:pPr>
        <w:rPr>
          <w:rFonts w:ascii="Times New Roman" w:hAnsi="Times New Roman"/>
          <w:sz w:val="24"/>
        </w:rPr>
      </w:pPr>
    </w:p>
    <w:p w:rsidR="008D0D58" w:rsidRDefault="008D0D58" w:rsidP="004A1E4C">
      <w:pPr>
        <w:rPr>
          <w:rFonts w:ascii="Times New Roman" w:hAnsi="Times New Roman"/>
          <w:sz w:val="24"/>
        </w:rPr>
      </w:pPr>
      <w:r>
        <w:rPr>
          <w:rFonts w:ascii="Times New Roman" w:hAnsi="Times New Roman"/>
          <w:sz w:val="24"/>
        </w:rPr>
        <w:t xml:space="preserve">In het bijzonder het ontnemen van het </w:t>
      </w:r>
      <w:r w:rsidRPr="00450C79">
        <w:rPr>
          <w:rFonts w:ascii="Times New Roman" w:hAnsi="Times New Roman"/>
          <w:sz w:val="24"/>
        </w:rPr>
        <w:t xml:space="preserve">passief </w:t>
      </w:r>
      <w:r>
        <w:rPr>
          <w:rFonts w:ascii="Times New Roman" w:hAnsi="Times New Roman"/>
          <w:sz w:val="24"/>
        </w:rPr>
        <w:t xml:space="preserve">en het </w:t>
      </w:r>
      <w:r w:rsidRPr="00450C79">
        <w:rPr>
          <w:rFonts w:ascii="Times New Roman" w:hAnsi="Times New Roman"/>
          <w:sz w:val="24"/>
        </w:rPr>
        <w:t xml:space="preserve">actief kiesrecht </w:t>
      </w:r>
      <w:r>
        <w:rPr>
          <w:rFonts w:ascii="Times New Roman" w:hAnsi="Times New Roman"/>
          <w:sz w:val="24"/>
        </w:rPr>
        <w:t xml:space="preserve">– </w:t>
      </w:r>
      <w:r w:rsidR="00B2617D">
        <w:rPr>
          <w:rFonts w:ascii="Times New Roman" w:hAnsi="Times New Roman"/>
          <w:sz w:val="24"/>
        </w:rPr>
        <w:t xml:space="preserve">twee </w:t>
      </w:r>
      <w:r w:rsidRPr="00450C79">
        <w:rPr>
          <w:rFonts w:ascii="Times New Roman" w:hAnsi="Times New Roman"/>
          <w:sz w:val="24"/>
        </w:rPr>
        <w:t>van de meest fundamentele democratische rechten</w:t>
      </w:r>
      <w:r>
        <w:rPr>
          <w:rFonts w:ascii="Times New Roman" w:hAnsi="Times New Roman"/>
          <w:sz w:val="24"/>
        </w:rPr>
        <w:t xml:space="preserve"> – is een zware bijkomende straf, die bij </w:t>
      </w:r>
      <w:r w:rsidR="005409D4">
        <w:rPr>
          <w:rFonts w:ascii="Times New Roman" w:hAnsi="Times New Roman"/>
          <w:sz w:val="24"/>
        </w:rPr>
        <w:t xml:space="preserve">slechts </w:t>
      </w:r>
      <w:r w:rsidR="005409D4" w:rsidRPr="00450C79">
        <w:rPr>
          <w:rFonts w:ascii="Times New Roman" w:hAnsi="Times New Roman"/>
          <w:sz w:val="24"/>
        </w:rPr>
        <w:t>weinig</w:t>
      </w:r>
      <w:r w:rsidR="005409D4">
        <w:rPr>
          <w:rFonts w:ascii="Times New Roman" w:hAnsi="Times New Roman"/>
          <w:sz w:val="24"/>
        </w:rPr>
        <w:t xml:space="preserve"> delicten </w:t>
      </w:r>
      <w:r w:rsidR="005409D4" w:rsidRPr="00450C79">
        <w:rPr>
          <w:rFonts w:ascii="Times New Roman" w:hAnsi="Times New Roman"/>
          <w:sz w:val="24"/>
        </w:rPr>
        <w:t xml:space="preserve">als bijkomende straf opgelegd kan worden. </w:t>
      </w:r>
      <w:r w:rsidRPr="00450C79">
        <w:rPr>
          <w:rFonts w:ascii="Times New Roman" w:hAnsi="Times New Roman"/>
          <w:sz w:val="24"/>
        </w:rPr>
        <w:t>In totaal zijn er enkele tientallen delicten waarbij dit kan</w:t>
      </w:r>
      <w:r>
        <w:rPr>
          <w:rFonts w:ascii="Times New Roman" w:hAnsi="Times New Roman"/>
          <w:sz w:val="24"/>
        </w:rPr>
        <w:t>.</w:t>
      </w:r>
      <w:r w:rsidRPr="00450C79">
        <w:rPr>
          <w:rFonts w:ascii="Times New Roman" w:hAnsi="Times New Roman"/>
          <w:sz w:val="24"/>
        </w:rPr>
        <w:t xml:space="preserve"> </w:t>
      </w:r>
      <w:r>
        <w:rPr>
          <w:rFonts w:ascii="Times New Roman" w:hAnsi="Times New Roman"/>
          <w:sz w:val="24"/>
        </w:rPr>
        <w:t xml:space="preserve">Daarbij gaat het om delicten als </w:t>
      </w:r>
      <w:r w:rsidRPr="00450C79">
        <w:rPr>
          <w:rFonts w:ascii="Times New Roman" w:hAnsi="Times New Roman"/>
          <w:sz w:val="24"/>
        </w:rPr>
        <w:t>een aanslag tegen de Koning, tegen het Rijk of tegen de ministerraad (artikelen 92, 93 en 95a Sr)</w:t>
      </w:r>
      <w:r w:rsidR="00B2617D">
        <w:rPr>
          <w:rFonts w:ascii="Times New Roman" w:hAnsi="Times New Roman"/>
          <w:sz w:val="24"/>
        </w:rPr>
        <w:t xml:space="preserve">, </w:t>
      </w:r>
      <w:r>
        <w:rPr>
          <w:rFonts w:ascii="Times New Roman" w:hAnsi="Times New Roman"/>
          <w:sz w:val="24"/>
        </w:rPr>
        <w:t xml:space="preserve">om </w:t>
      </w:r>
      <w:r w:rsidRPr="00450C79">
        <w:rPr>
          <w:rFonts w:ascii="Times New Roman" w:hAnsi="Times New Roman"/>
          <w:sz w:val="24"/>
        </w:rPr>
        <w:t xml:space="preserve">contacten met buitenlandse mogendheden met het oogmerk om haar tot het voeren van oorlog tegen de staat te bewegen (artikel 97 Sr) of het schenden van staatsgeheimen (artikel 98 Sr). </w:t>
      </w:r>
      <w:r>
        <w:rPr>
          <w:rFonts w:ascii="Times New Roman" w:hAnsi="Times New Roman"/>
          <w:sz w:val="24"/>
        </w:rPr>
        <w:t xml:space="preserve">Dit zijn </w:t>
      </w:r>
      <w:r w:rsidR="005409D4">
        <w:rPr>
          <w:rFonts w:ascii="Times New Roman" w:hAnsi="Times New Roman"/>
          <w:sz w:val="24"/>
        </w:rPr>
        <w:t xml:space="preserve">ernstige </w:t>
      </w:r>
      <w:r w:rsidRPr="00450C79">
        <w:rPr>
          <w:rFonts w:ascii="Times New Roman" w:hAnsi="Times New Roman"/>
          <w:sz w:val="24"/>
        </w:rPr>
        <w:t xml:space="preserve">misdrijven </w:t>
      </w:r>
      <w:r w:rsidR="005409D4">
        <w:rPr>
          <w:rFonts w:ascii="Times New Roman" w:hAnsi="Times New Roman"/>
          <w:sz w:val="24"/>
        </w:rPr>
        <w:t>tegen de veiligheid van de staat</w:t>
      </w:r>
      <w:r w:rsidR="00396F01">
        <w:rPr>
          <w:rFonts w:ascii="Times New Roman" w:hAnsi="Times New Roman"/>
          <w:sz w:val="24"/>
        </w:rPr>
        <w:t xml:space="preserve">. </w:t>
      </w:r>
      <w:r w:rsidR="005409D4">
        <w:rPr>
          <w:rFonts w:ascii="Times New Roman" w:hAnsi="Times New Roman"/>
          <w:sz w:val="24"/>
        </w:rPr>
        <w:t xml:space="preserve">Een belediging van de Koning, van zijn </w:t>
      </w:r>
      <w:r w:rsidR="005409D4" w:rsidRPr="006A59A2">
        <w:rPr>
          <w:rFonts w:ascii="Times New Roman" w:hAnsi="Times New Roman"/>
          <w:sz w:val="24"/>
        </w:rPr>
        <w:t xml:space="preserve">echtgenote </w:t>
      </w:r>
      <w:r w:rsidR="005409D4">
        <w:rPr>
          <w:rFonts w:ascii="Times New Roman" w:hAnsi="Times New Roman"/>
          <w:sz w:val="24"/>
        </w:rPr>
        <w:t xml:space="preserve">of van </w:t>
      </w:r>
      <w:r w:rsidR="005409D4" w:rsidRPr="006A59A2">
        <w:rPr>
          <w:rFonts w:ascii="Times New Roman" w:hAnsi="Times New Roman"/>
          <w:sz w:val="24"/>
        </w:rPr>
        <w:t xml:space="preserve">de kroonprins(es) </w:t>
      </w:r>
      <w:r w:rsidRPr="00450C79">
        <w:rPr>
          <w:rFonts w:ascii="Times New Roman" w:hAnsi="Times New Roman"/>
          <w:sz w:val="24"/>
        </w:rPr>
        <w:t>is daarmee in zwaarte onvergelijkbaar.</w:t>
      </w:r>
      <w:r w:rsidR="005409D4">
        <w:rPr>
          <w:rFonts w:ascii="Times New Roman" w:hAnsi="Times New Roman"/>
          <w:sz w:val="24"/>
        </w:rPr>
        <w:t xml:space="preserve"> </w:t>
      </w:r>
    </w:p>
    <w:p w:rsidR="005409D4" w:rsidRDefault="005409D4" w:rsidP="004A1E4C">
      <w:pPr>
        <w:rPr>
          <w:rFonts w:ascii="Times New Roman" w:hAnsi="Times New Roman"/>
          <w:sz w:val="24"/>
        </w:rPr>
      </w:pPr>
    </w:p>
    <w:p w:rsidR="004A1E4C" w:rsidRPr="00CF282F" w:rsidRDefault="00C817D5" w:rsidP="005D44DE">
      <w:pPr>
        <w:rPr>
          <w:rFonts w:ascii="Times New Roman" w:hAnsi="Times New Roman"/>
          <w:i/>
          <w:sz w:val="24"/>
        </w:rPr>
      </w:pPr>
      <w:r>
        <w:rPr>
          <w:rFonts w:ascii="Times New Roman" w:hAnsi="Times New Roman"/>
          <w:i/>
          <w:sz w:val="24"/>
        </w:rPr>
        <w:t>3.</w:t>
      </w:r>
      <w:r w:rsidR="00F47070">
        <w:rPr>
          <w:rFonts w:ascii="Times New Roman" w:hAnsi="Times New Roman"/>
          <w:i/>
          <w:sz w:val="24"/>
        </w:rPr>
        <w:t>5</w:t>
      </w:r>
      <w:r>
        <w:rPr>
          <w:rFonts w:ascii="Times New Roman" w:hAnsi="Times New Roman"/>
          <w:i/>
          <w:sz w:val="24"/>
        </w:rPr>
        <w:t>. V</w:t>
      </w:r>
      <w:r w:rsidR="004A1E4C" w:rsidRPr="00CF282F">
        <w:rPr>
          <w:rFonts w:ascii="Times New Roman" w:hAnsi="Times New Roman"/>
          <w:i/>
          <w:sz w:val="24"/>
        </w:rPr>
        <w:t>ervolgingsbeleid</w:t>
      </w:r>
    </w:p>
    <w:p w:rsidR="00450C79" w:rsidRDefault="00450C79" w:rsidP="00450C79">
      <w:pPr>
        <w:rPr>
          <w:rFonts w:ascii="Times New Roman" w:hAnsi="Times New Roman"/>
          <w:sz w:val="24"/>
        </w:rPr>
      </w:pPr>
    </w:p>
    <w:p w:rsidR="00AB49EB" w:rsidRDefault="00AF40C7" w:rsidP="00450C79">
      <w:pPr>
        <w:rPr>
          <w:rFonts w:ascii="Times New Roman" w:hAnsi="Times New Roman"/>
          <w:sz w:val="24"/>
        </w:rPr>
      </w:pPr>
      <w:r>
        <w:rPr>
          <w:rFonts w:ascii="Times New Roman" w:hAnsi="Times New Roman"/>
          <w:sz w:val="24"/>
        </w:rPr>
        <w:t>D</w:t>
      </w:r>
      <w:r w:rsidR="00AB49EB">
        <w:rPr>
          <w:rFonts w:ascii="Times New Roman" w:hAnsi="Times New Roman"/>
          <w:sz w:val="24"/>
        </w:rPr>
        <w:t xml:space="preserve">e hoogte van de maximaal op te leggen straffen </w:t>
      </w:r>
      <w:r>
        <w:rPr>
          <w:rFonts w:ascii="Times New Roman" w:hAnsi="Times New Roman"/>
          <w:sz w:val="24"/>
        </w:rPr>
        <w:t xml:space="preserve">kan </w:t>
      </w:r>
      <w:r w:rsidR="00AB49EB">
        <w:rPr>
          <w:rFonts w:ascii="Times New Roman" w:hAnsi="Times New Roman"/>
          <w:sz w:val="24"/>
        </w:rPr>
        <w:t>gevolgen he</w:t>
      </w:r>
      <w:r>
        <w:rPr>
          <w:rFonts w:ascii="Times New Roman" w:hAnsi="Times New Roman"/>
          <w:sz w:val="24"/>
        </w:rPr>
        <w:t>bben</w:t>
      </w:r>
      <w:r w:rsidR="00AB49EB">
        <w:rPr>
          <w:rFonts w:ascii="Times New Roman" w:hAnsi="Times New Roman"/>
          <w:sz w:val="24"/>
        </w:rPr>
        <w:t xml:space="preserve"> voor het vervolgingsbeleid, zowel waar het gaat om de daarbij ter hanteren prioriteiten als om de hoogte van de </w:t>
      </w:r>
      <w:r w:rsidR="00396F01">
        <w:rPr>
          <w:rFonts w:ascii="Times New Roman" w:hAnsi="Times New Roman"/>
          <w:sz w:val="24"/>
        </w:rPr>
        <w:t>straf</w:t>
      </w:r>
      <w:r w:rsidR="00AB49EB">
        <w:rPr>
          <w:rFonts w:ascii="Times New Roman" w:hAnsi="Times New Roman"/>
          <w:sz w:val="24"/>
        </w:rPr>
        <w:t>eisen.</w:t>
      </w:r>
      <w:r w:rsidR="00C817D5">
        <w:rPr>
          <w:rFonts w:ascii="Times New Roman" w:hAnsi="Times New Roman"/>
          <w:sz w:val="24"/>
        </w:rPr>
        <w:t xml:space="preserve"> Daarbij brengt de aard van het delict majesteitsschenni</w:t>
      </w:r>
      <w:r w:rsidR="00EA7909">
        <w:rPr>
          <w:rFonts w:ascii="Times New Roman" w:hAnsi="Times New Roman"/>
          <w:sz w:val="24"/>
        </w:rPr>
        <w:t>s het gevaar met zich mee</w:t>
      </w:r>
      <w:r w:rsidR="00C817D5">
        <w:rPr>
          <w:rFonts w:ascii="Times New Roman" w:hAnsi="Times New Roman"/>
          <w:sz w:val="24"/>
        </w:rPr>
        <w:t xml:space="preserve"> dat een zekere </w:t>
      </w:r>
      <w:r w:rsidR="00B2617D">
        <w:rPr>
          <w:rFonts w:ascii="Times New Roman" w:hAnsi="Times New Roman"/>
          <w:sz w:val="24"/>
        </w:rPr>
        <w:t>mate</w:t>
      </w:r>
      <w:r w:rsidR="00C817D5">
        <w:rPr>
          <w:rFonts w:ascii="Times New Roman" w:hAnsi="Times New Roman"/>
          <w:sz w:val="24"/>
        </w:rPr>
        <w:t xml:space="preserve"> van byzantinisme in het vervolgingsbeleid sluipt: een al te grote ijver om de Koning te behagen. Dat kan </w:t>
      </w:r>
      <w:r w:rsidR="00443801">
        <w:rPr>
          <w:rFonts w:ascii="Times New Roman" w:hAnsi="Times New Roman"/>
          <w:sz w:val="24"/>
        </w:rPr>
        <w:t xml:space="preserve">echter </w:t>
      </w:r>
      <w:r w:rsidR="00C817D5">
        <w:rPr>
          <w:rFonts w:ascii="Times New Roman" w:hAnsi="Times New Roman"/>
          <w:sz w:val="24"/>
        </w:rPr>
        <w:t xml:space="preserve">ook averechts uitpakken: de positie van de Koning wordt </w:t>
      </w:r>
      <w:r w:rsidR="00396F01">
        <w:rPr>
          <w:rFonts w:ascii="Times New Roman" w:hAnsi="Times New Roman"/>
          <w:sz w:val="24"/>
        </w:rPr>
        <w:t xml:space="preserve">dan </w:t>
      </w:r>
      <w:r w:rsidR="00C817D5">
        <w:rPr>
          <w:rFonts w:ascii="Times New Roman" w:hAnsi="Times New Roman"/>
          <w:sz w:val="24"/>
        </w:rPr>
        <w:t xml:space="preserve">niet beschermd, maar </w:t>
      </w:r>
      <w:r w:rsidR="00B2617D">
        <w:rPr>
          <w:rFonts w:ascii="Times New Roman" w:hAnsi="Times New Roman"/>
          <w:sz w:val="24"/>
        </w:rPr>
        <w:t xml:space="preserve">hij </w:t>
      </w:r>
      <w:r w:rsidR="00C817D5">
        <w:rPr>
          <w:rFonts w:ascii="Times New Roman" w:hAnsi="Times New Roman"/>
          <w:sz w:val="24"/>
        </w:rPr>
        <w:t xml:space="preserve">komt </w:t>
      </w:r>
      <w:r w:rsidR="00396F01">
        <w:rPr>
          <w:rFonts w:ascii="Times New Roman" w:hAnsi="Times New Roman"/>
          <w:sz w:val="24"/>
        </w:rPr>
        <w:t xml:space="preserve">er </w:t>
      </w:r>
      <w:r w:rsidR="00C817D5">
        <w:rPr>
          <w:rFonts w:ascii="Times New Roman" w:hAnsi="Times New Roman"/>
          <w:sz w:val="24"/>
        </w:rPr>
        <w:t xml:space="preserve">juist </w:t>
      </w:r>
      <w:r w:rsidR="00EA7909">
        <w:rPr>
          <w:rFonts w:ascii="Times New Roman" w:hAnsi="Times New Roman"/>
          <w:sz w:val="24"/>
        </w:rPr>
        <w:t xml:space="preserve">door </w:t>
      </w:r>
      <w:r w:rsidR="00C817D5">
        <w:rPr>
          <w:rFonts w:ascii="Times New Roman" w:hAnsi="Times New Roman"/>
          <w:sz w:val="24"/>
        </w:rPr>
        <w:t xml:space="preserve">in opspraak. </w:t>
      </w:r>
    </w:p>
    <w:p w:rsidR="00E61614" w:rsidRDefault="00E61614" w:rsidP="00450C79">
      <w:pPr>
        <w:rPr>
          <w:rFonts w:ascii="Times New Roman" w:hAnsi="Times New Roman"/>
          <w:sz w:val="24"/>
        </w:rPr>
      </w:pPr>
    </w:p>
    <w:p w:rsidR="00E61614" w:rsidRDefault="00E61614" w:rsidP="00450C79">
      <w:pPr>
        <w:rPr>
          <w:rFonts w:ascii="Times New Roman" w:hAnsi="Times New Roman"/>
          <w:sz w:val="24"/>
        </w:rPr>
      </w:pPr>
      <w:r>
        <w:rPr>
          <w:rFonts w:ascii="Times New Roman" w:hAnsi="Times New Roman"/>
          <w:sz w:val="24"/>
        </w:rPr>
        <w:t xml:space="preserve">Dat kan leiden tot het meten met twee maten. Om ophef te voorkomen lijken soms vergaande vormen van spot en satire in een theater </w:t>
      </w:r>
      <w:r w:rsidR="00641704">
        <w:rPr>
          <w:rFonts w:ascii="Times New Roman" w:hAnsi="Times New Roman"/>
          <w:sz w:val="24"/>
        </w:rPr>
        <w:t>en</w:t>
      </w:r>
      <w:r>
        <w:rPr>
          <w:rFonts w:ascii="Times New Roman" w:hAnsi="Times New Roman"/>
          <w:sz w:val="24"/>
        </w:rPr>
        <w:t xml:space="preserve"> in de media strafrechtelijk te worden getolereerd.</w:t>
      </w:r>
    </w:p>
    <w:p w:rsidR="00E61614" w:rsidRPr="00902AF6" w:rsidRDefault="00E61614" w:rsidP="00E61614">
      <w:pPr>
        <w:rPr>
          <w:rFonts w:ascii="Times New Roman" w:hAnsi="Times New Roman"/>
          <w:sz w:val="24"/>
        </w:rPr>
      </w:pPr>
      <w:r>
        <w:rPr>
          <w:rFonts w:ascii="Times New Roman" w:hAnsi="Times New Roman"/>
          <w:sz w:val="24"/>
        </w:rPr>
        <w:t>Maar de burger die iets dergelijks doet op de openbare weg loopt een grote kans om aangehouden  te worden, met name als de Koning of de Koningin ter plaatse aanwezig zijn of worden verwacht. De officier van justitie gaat vervolgens soms wel, en soms niet over tot vervolging.</w:t>
      </w:r>
      <w:r>
        <w:rPr>
          <w:rStyle w:val="Voetnootmarkering"/>
          <w:rFonts w:ascii="Times New Roman" w:hAnsi="Times New Roman"/>
          <w:sz w:val="24"/>
        </w:rPr>
        <w:footnoteReference w:id="24"/>
      </w:r>
    </w:p>
    <w:p w:rsidR="00902AF6" w:rsidRDefault="00902AF6" w:rsidP="00450C79">
      <w:pPr>
        <w:rPr>
          <w:rFonts w:ascii="Times New Roman" w:hAnsi="Times New Roman"/>
          <w:sz w:val="24"/>
        </w:rPr>
      </w:pPr>
    </w:p>
    <w:p w:rsidR="0033314C" w:rsidRDefault="00A222DA" w:rsidP="00450C79">
      <w:pPr>
        <w:rPr>
          <w:rFonts w:ascii="Times New Roman" w:hAnsi="Times New Roman"/>
          <w:sz w:val="24"/>
        </w:rPr>
      </w:pPr>
      <w:r>
        <w:rPr>
          <w:rFonts w:ascii="Times New Roman" w:hAnsi="Times New Roman"/>
          <w:sz w:val="24"/>
        </w:rPr>
        <w:t>H</w:t>
      </w:r>
      <w:r w:rsidRPr="00450C79">
        <w:rPr>
          <w:rFonts w:ascii="Times New Roman" w:hAnsi="Times New Roman"/>
          <w:sz w:val="24"/>
        </w:rPr>
        <w:t>et hoge aantal vervolgingen in 2002</w:t>
      </w:r>
      <w:r>
        <w:rPr>
          <w:rFonts w:ascii="Times New Roman" w:hAnsi="Times New Roman"/>
          <w:sz w:val="24"/>
        </w:rPr>
        <w:t xml:space="preserve"> kan b</w:t>
      </w:r>
      <w:r w:rsidR="00450C79" w:rsidRPr="00450C79">
        <w:rPr>
          <w:rFonts w:ascii="Times New Roman" w:hAnsi="Times New Roman"/>
          <w:sz w:val="24"/>
        </w:rPr>
        <w:t xml:space="preserve">lijkens de beantwoording van schriftelijke </w:t>
      </w:r>
      <w:r w:rsidR="00AF40C7">
        <w:rPr>
          <w:rFonts w:ascii="Times New Roman" w:hAnsi="Times New Roman"/>
          <w:sz w:val="24"/>
        </w:rPr>
        <w:t>Kamer</w:t>
      </w:r>
      <w:r w:rsidR="00450C79" w:rsidRPr="00450C79">
        <w:rPr>
          <w:rFonts w:ascii="Times New Roman" w:hAnsi="Times New Roman"/>
          <w:sz w:val="24"/>
        </w:rPr>
        <w:t xml:space="preserve">vragen van de leden Pechtold en Schouw </w:t>
      </w:r>
      <w:r w:rsidR="00AF40C7">
        <w:rPr>
          <w:rFonts w:ascii="Times New Roman" w:hAnsi="Times New Roman"/>
          <w:sz w:val="24"/>
        </w:rPr>
        <w:t xml:space="preserve">uit 2013 </w:t>
      </w:r>
      <w:r w:rsidRPr="00450C79">
        <w:rPr>
          <w:rFonts w:ascii="Times New Roman" w:hAnsi="Times New Roman"/>
          <w:sz w:val="24"/>
        </w:rPr>
        <w:t xml:space="preserve">worden </w:t>
      </w:r>
      <w:r w:rsidR="00450C79" w:rsidRPr="00450C79">
        <w:rPr>
          <w:rFonts w:ascii="Times New Roman" w:hAnsi="Times New Roman"/>
          <w:sz w:val="24"/>
        </w:rPr>
        <w:t>verklaard uit aanhoudingen die verricht zijn op de dagen rond het huwelijk van de toenmalige kroonprins Willem-Alexander en prinses Maxima.</w:t>
      </w:r>
      <w:r w:rsidR="00450C79" w:rsidRPr="00450C79">
        <w:rPr>
          <w:rFonts w:ascii="Times New Roman" w:hAnsi="Times New Roman"/>
          <w:sz w:val="24"/>
          <w:vertAlign w:val="superscript"/>
        </w:rPr>
        <w:footnoteReference w:id="25"/>
      </w:r>
      <w:r w:rsidR="00450C79" w:rsidRPr="00450C79">
        <w:rPr>
          <w:rFonts w:ascii="Times New Roman" w:hAnsi="Times New Roman"/>
          <w:sz w:val="24"/>
        </w:rPr>
        <w:t xml:space="preserve"> Opvallend is</w:t>
      </w:r>
      <w:r>
        <w:rPr>
          <w:rFonts w:ascii="Times New Roman" w:hAnsi="Times New Roman"/>
          <w:sz w:val="24"/>
        </w:rPr>
        <w:t>,</w:t>
      </w:r>
      <w:r w:rsidR="00450C79" w:rsidRPr="00450C79">
        <w:rPr>
          <w:rFonts w:ascii="Times New Roman" w:hAnsi="Times New Roman"/>
          <w:sz w:val="24"/>
        </w:rPr>
        <w:t xml:space="preserve"> dat een groot deel van de inschrijvingen </w:t>
      </w:r>
      <w:r w:rsidR="00B2617D">
        <w:rPr>
          <w:rFonts w:ascii="Times New Roman" w:hAnsi="Times New Roman"/>
          <w:sz w:val="24"/>
        </w:rPr>
        <w:t xml:space="preserve">door het Openbaar Ministerie </w:t>
      </w:r>
      <w:r>
        <w:rPr>
          <w:rFonts w:ascii="Times New Roman" w:hAnsi="Times New Roman"/>
          <w:sz w:val="24"/>
        </w:rPr>
        <w:t xml:space="preserve">toen </w:t>
      </w:r>
      <w:r w:rsidR="00450C79" w:rsidRPr="00450C79">
        <w:rPr>
          <w:rFonts w:ascii="Times New Roman" w:hAnsi="Times New Roman"/>
          <w:sz w:val="24"/>
        </w:rPr>
        <w:t>niet geleid heeft tot vervolging of een strafbeschikking. D</w:t>
      </w:r>
      <w:r w:rsidR="007C6030">
        <w:rPr>
          <w:rFonts w:ascii="Times New Roman" w:hAnsi="Times New Roman"/>
          <w:sz w:val="24"/>
        </w:rPr>
        <w:t>a</w:t>
      </w:r>
      <w:r w:rsidR="00450C79" w:rsidRPr="00450C79">
        <w:rPr>
          <w:rFonts w:ascii="Times New Roman" w:hAnsi="Times New Roman"/>
          <w:sz w:val="24"/>
        </w:rPr>
        <w:t xml:space="preserve">t </w:t>
      </w:r>
      <w:r w:rsidR="00340B37">
        <w:rPr>
          <w:rFonts w:ascii="Times New Roman" w:hAnsi="Times New Roman"/>
          <w:sz w:val="24"/>
        </w:rPr>
        <w:t xml:space="preserve">doet het vermoeden rijzen dat de bevoegdheid tot aanhouding is gebruikt voor een ander doel dan waarvoor hij gegeven is: het voorkomen van verstoring van de openbare orde. </w:t>
      </w:r>
    </w:p>
    <w:p w:rsidR="0033314C" w:rsidRDefault="004C1E4E" w:rsidP="00450C79">
      <w:pPr>
        <w:rPr>
          <w:rFonts w:ascii="Times New Roman" w:hAnsi="Times New Roman"/>
          <w:sz w:val="24"/>
        </w:rPr>
      </w:pPr>
      <w:r>
        <w:rPr>
          <w:rFonts w:ascii="Times New Roman" w:hAnsi="Times New Roman"/>
          <w:sz w:val="24"/>
        </w:rPr>
        <w:t xml:space="preserve">Dat is ernstig, omdat het </w:t>
      </w:r>
      <w:r w:rsidR="00B2617D">
        <w:rPr>
          <w:rFonts w:ascii="Times New Roman" w:hAnsi="Times New Roman"/>
          <w:sz w:val="24"/>
        </w:rPr>
        <w:t xml:space="preserve">leidt tot </w:t>
      </w:r>
      <w:r>
        <w:rPr>
          <w:rFonts w:ascii="Times New Roman" w:hAnsi="Times New Roman"/>
          <w:sz w:val="24"/>
        </w:rPr>
        <w:t>een aantasting van het recht op vrije meningsuiting en betoging.</w:t>
      </w:r>
      <w:r w:rsidR="0081127D">
        <w:rPr>
          <w:rStyle w:val="Voetnootmarkering"/>
          <w:rFonts w:ascii="Times New Roman" w:hAnsi="Times New Roman"/>
          <w:sz w:val="24"/>
        </w:rPr>
        <w:footnoteReference w:id="26"/>
      </w:r>
      <w:r w:rsidR="0081127D">
        <w:rPr>
          <w:rFonts w:ascii="Times New Roman" w:hAnsi="Times New Roman"/>
          <w:sz w:val="24"/>
        </w:rPr>
        <w:t xml:space="preserve"> </w:t>
      </w:r>
      <w:r w:rsidR="00A222DA">
        <w:rPr>
          <w:rFonts w:ascii="Times New Roman" w:hAnsi="Times New Roman"/>
          <w:sz w:val="24"/>
        </w:rPr>
        <w:t>Een d</w:t>
      </w:r>
      <w:r>
        <w:rPr>
          <w:rFonts w:ascii="Times New Roman" w:hAnsi="Times New Roman"/>
          <w:sz w:val="24"/>
        </w:rPr>
        <w:t xml:space="preserve">ergelijk overheidsingrijpend heeft een onmiskenbaar </w:t>
      </w:r>
      <w:r>
        <w:rPr>
          <w:rFonts w:ascii="Times New Roman" w:hAnsi="Times New Roman"/>
          <w:i/>
          <w:sz w:val="24"/>
        </w:rPr>
        <w:t>“</w:t>
      </w:r>
      <w:r w:rsidRPr="00450C79">
        <w:rPr>
          <w:rFonts w:ascii="Times New Roman" w:hAnsi="Times New Roman"/>
          <w:i/>
          <w:sz w:val="24"/>
        </w:rPr>
        <w:t>chilling effect</w:t>
      </w:r>
      <w:r>
        <w:rPr>
          <w:rFonts w:ascii="Times New Roman" w:hAnsi="Times New Roman"/>
          <w:i/>
          <w:sz w:val="24"/>
        </w:rPr>
        <w:t xml:space="preserve">” </w:t>
      </w:r>
      <w:r w:rsidRPr="004C1E4E">
        <w:rPr>
          <w:rFonts w:ascii="Times New Roman" w:hAnsi="Times New Roman"/>
          <w:sz w:val="24"/>
        </w:rPr>
        <w:t>op de</w:t>
      </w:r>
      <w:r w:rsidR="00A222DA">
        <w:rPr>
          <w:rFonts w:ascii="Times New Roman" w:hAnsi="Times New Roman"/>
          <w:sz w:val="24"/>
        </w:rPr>
        <w:t xml:space="preserve"> uitoefening van de</w:t>
      </w:r>
      <w:r w:rsidRPr="004C1E4E">
        <w:rPr>
          <w:rFonts w:ascii="Times New Roman" w:hAnsi="Times New Roman"/>
          <w:sz w:val="24"/>
        </w:rPr>
        <w:t>ze mensenrechten.</w:t>
      </w:r>
      <w:r w:rsidR="002252A4">
        <w:rPr>
          <w:rStyle w:val="Voetnootmarkering"/>
          <w:rFonts w:ascii="Times New Roman" w:hAnsi="Times New Roman"/>
          <w:sz w:val="24"/>
        </w:rPr>
        <w:footnoteReference w:id="27"/>
      </w:r>
      <w:r w:rsidRPr="004C1E4E">
        <w:rPr>
          <w:rFonts w:ascii="Times New Roman" w:hAnsi="Times New Roman"/>
          <w:sz w:val="24"/>
        </w:rPr>
        <w:t xml:space="preserve"> </w:t>
      </w:r>
      <w:r w:rsidR="0033314C" w:rsidRPr="00450C79">
        <w:rPr>
          <w:rFonts w:ascii="Times New Roman" w:hAnsi="Times New Roman"/>
          <w:sz w:val="24"/>
        </w:rPr>
        <w:t>Het kan leiden tot zelfcensuur</w:t>
      </w:r>
      <w:r w:rsidR="00B2617D">
        <w:rPr>
          <w:rFonts w:ascii="Times New Roman" w:hAnsi="Times New Roman"/>
          <w:sz w:val="24"/>
        </w:rPr>
        <w:t>,</w:t>
      </w:r>
      <w:r w:rsidR="00AB1828">
        <w:rPr>
          <w:rFonts w:ascii="Times New Roman" w:hAnsi="Times New Roman"/>
          <w:sz w:val="24"/>
        </w:rPr>
        <w:t xml:space="preserve"> die in een </w:t>
      </w:r>
      <w:r w:rsidR="00AB1828">
        <w:rPr>
          <w:rFonts w:ascii="Times New Roman" w:hAnsi="Times New Roman"/>
          <w:sz w:val="24"/>
        </w:rPr>
        <w:lastRenderedPageBreak/>
        <w:t>democratische samenleving niet nodig zou moeten zijn</w:t>
      </w:r>
      <w:r w:rsidR="0033314C">
        <w:rPr>
          <w:rFonts w:ascii="Times New Roman" w:hAnsi="Times New Roman"/>
          <w:sz w:val="24"/>
        </w:rPr>
        <w:t xml:space="preserve">. </w:t>
      </w:r>
      <w:r w:rsidR="0033314C" w:rsidRPr="00450C79">
        <w:rPr>
          <w:rFonts w:ascii="Times New Roman" w:hAnsi="Times New Roman"/>
          <w:sz w:val="24"/>
        </w:rPr>
        <w:t xml:space="preserve">Ook </w:t>
      </w:r>
      <w:r w:rsidR="00B2617D">
        <w:rPr>
          <w:rFonts w:ascii="Times New Roman" w:hAnsi="Times New Roman"/>
          <w:sz w:val="24"/>
        </w:rPr>
        <w:t xml:space="preserve">de impact die een aanhouding </w:t>
      </w:r>
      <w:r w:rsidR="00B2617D" w:rsidRPr="00450C79">
        <w:rPr>
          <w:rFonts w:ascii="Times New Roman" w:hAnsi="Times New Roman"/>
          <w:sz w:val="24"/>
        </w:rPr>
        <w:t xml:space="preserve">op </w:t>
      </w:r>
      <w:r w:rsidR="00B2617D">
        <w:rPr>
          <w:rFonts w:ascii="Times New Roman" w:hAnsi="Times New Roman"/>
          <w:sz w:val="24"/>
        </w:rPr>
        <w:t xml:space="preserve">de </w:t>
      </w:r>
      <w:r w:rsidR="00B2617D" w:rsidRPr="00450C79">
        <w:rPr>
          <w:rFonts w:ascii="Times New Roman" w:hAnsi="Times New Roman"/>
          <w:sz w:val="24"/>
        </w:rPr>
        <w:t xml:space="preserve">betrokkene </w:t>
      </w:r>
      <w:r w:rsidR="00B2617D">
        <w:rPr>
          <w:rFonts w:ascii="Times New Roman" w:hAnsi="Times New Roman"/>
          <w:sz w:val="24"/>
        </w:rPr>
        <w:t>heeft</w:t>
      </w:r>
      <w:r w:rsidR="00AB1828">
        <w:rPr>
          <w:rFonts w:ascii="Times New Roman" w:hAnsi="Times New Roman"/>
          <w:sz w:val="24"/>
        </w:rPr>
        <w:t>,</w:t>
      </w:r>
      <w:r w:rsidR="00B2617D">
        <w:rPr>
          <w:rFonts w:ascii="Times New Roman" w:hAnsi="Times New Roman"/>
          <w:sz w:val="24"/>
        </w:rPr>
        <w:t xml:space="preserve"> moet niet worden onderschat. Die impact wordt  niet tenietgedaan als </w:t>
      </w:r>
      <w:r w:rsidR="00B84CC5">
        <w:rPr>
          <w:rFonts w:ascii="Times New Roman" w:hAnsi="Times New Roman"/>
          <w:sz w:val="24"/>
        </w:rPr>
        <w:t xml:space="preserve">daarna </w:t>
      </w:r>
      <w:r w:rsidR="00EA7909">
        <w:rPr>
          <w:rFonts w:ascii="Times New Roman" w:hAnsi="Times New Roman"/>
          <w:sz w:val="24"/>
        </w:rPr>
        <w:t xml:space="preserve">geen </w:t>
      </w:r>
      <w:r w:rsidR="0033314C" w:rsidRPr="00450C79">
        <w:rPr>
          <w:rFonts w:ascii="Times New Roman" w:hAnsi="Times New Roman"/>
          <w:sz w:val="24"/>
        </w:rPr>
        <w:t xml:space="preserve">vervolging </w:t>
      </w:r>
      <w:r w:rsidR="00EA7909">
        <w:rPr>
          <w:rFonts w:ascii="Times New Roman" w:hAnsi="Times New Roman"/>
          <w:sz w:val="24"/>
        </w:rPr>
        <w:t>plaatsvindt</w:t>
      </w:r>
      <w:r w:rsidR="00B2617D">
        <w:rPr>
          <w:rFonts w:ascii="Times New Roman" w:hAnsi="Times New Roman"/>
          <w:sz w:val="24"/>
        </w:rPr>
        <w:t>.</w:t>
      </w:r>
      <w:r w:rsidR="0033314C" w:rsidRPr="00450C79">
        <w:rPr>
          <w:rFonts w:ascii="Times New Roman" w:hAnsi="Times New Roman"/>
          <w:sz w:val="24"/>
        </w:rPr>
        <w:t xml:space="preserve"> </w:t>
      </w:r>
    </w:p>
    <w:p w:rsidR="00AF40C7" w:rsidRDefault="00AF40C7" w:rsidP="00450C79">
      <w:pPr>
        <w:rPr>
          <w:rFonts w:ascii="Times New Roman" w:hAnsi="Times New Roman"/>
          <w:sz w:val="24"/>
        </w:rPr>
      </w:pPr>
    </w:p>
    <w:p w:rsidR="00450C79" w:rsidRPr="00450C79" w:rsidRDefault="004C1E4E" w:rsidP="00450C79">
      <w:pPr>
        <w:rPr>
          <w:rFonts w:ascii="Times New Roman" w:hAnsi="Times New Roman"/>
          <w:sz w:val="24"/>
        </w:rPr>
      </w:pPr>
      <w:r>
        <w:rPr>
          <w:rFonts w:ascii="Times New Roman" w:hAnsi="Times New Roman"/>
          <w:sz w:val="24"/>
        </w:rPr>
        <w:t xml:space="preserve">Bovendien is vrees voor verstoring van de openbare orde in dit soort situaties zelden gegrond. De individuele meningsuitingen waarom het hierbij meestal gaat plegen </w:t>
      </w:r>
      <w:r w:rsidR="00BB5301">
        <w:rPr>
          <w:rFonts w:ascii="Times New Roman" w:hAnsi="Times New Roman"/>
          <w:sz w:val="24"/>
        </w:rPr>
        <w:t xml:space="preserve">nogal </w:t>
      </w:r>
      <w:r>
        <w:rPr>
          <w:rFonts w:ascii="Times New Roman" w:hAnsi="Times New Roman"/>
          <w:sz w:val="24"/>
        </w:rPr>
        <w:t xml:space="preserve">vreedzaam en ordelijk te zijn. </w:t>
      </w:r>
      <w:r w:rsidR="00B84CC5">
        <w:rPr>
          <w:rFonts w:ascii="Times New Roman" w:hAnsi="Times New Roman"/>
          <w:sz w:val="24"/>
        </w:rPr>
        <w:t>Een e</w:t>
      </w:r>
      <w:r w:rsidR="0033314C">
        <w:rPr>
          <w:rFonts w:ascii="Times New Roman" w:hAnsi="Times New Roman"/>
          <w:sz w:val="24"/>
        </w:rPr>
        <w:t xml:space="preserve">ventuele </w:t>
      </w:r>
      <w:r w:rsidR="00340B37">
        <w:rPr>
          <w:rFonts w:ascii="Times New Roman" w:hAnsi="Times New Roman"/>
          <w:sz w:val="24"/>
        </w:rPr>
        <w:t xml:space="preserve">verstoring </w:t>
      </w:r>
      <w:r>
        <w:rPr>
          <w:rFonts w:ascii="Times New Roman" w:hAnsi="Times New Roman"/>
          <w:sz w:val="24"/>
        </w:rPr>
        <w:t xml:space="preserve">van de openbare orde zou moeten komen van hen die aanstoot nemen aan kritiek op de Koning. Daarvan zijn echter geen recente voorbeelden bekend. </w:t>
      </w:r>
      <w:r w:rsidR="00641704">
        <w:rPr>
          <w:rFonts w:ascii="Times New Roman" w:hAnsi="Times New Roman"/>
          <w:sz w:val="24"/>
        </w:rPr>
        <w:t>Nederland is op dit punt een tolerant land.</w:t>
      </w:r>
    </w:p>
    <w:p w:rsidR="004A1E4C" w:rsidRDefault="004A1E4C" w:rsidP="005D44DE">
      <w:pPr>
        <w:rPr>
          <w:rFonts w:ascii="Times New Roman" w:hAnsi="Times New Roman"/>
          <w:sz w:val="24"/>
        </w:rPr>
      </w:pPr>
    </w:p>
    <w:p w:rsidR="00EE24DA" w:rsidRDefault="00EA7909" w:rsidP="005D44DE">
      <w:pPr>
        <w:rPr>
          <w:rFonts w:ascii="Times New Roman" w:hAnsi="Times New Roman"/>
          <w:sz w:val="24"/>
        </w:rPr>
      </w:pPr>
      <w:r>
        <w:rPr>
          <w:rFonts w:ascii="Times New Roman" w:hAnsi="Times New Roman"/>
          <w:sz w:val="24"/>
        </w:rPr>
        <w:t xml:space="preserve">Misbruik van de bevoegdheid tot aanhouding </w:t>
      </w:r>
      <w:r w:rsidR="00EE24DA">
        <w:rPr>
          <w:rFonts w:ascii="Times New Roman" w:hAnsi="Times New Roman"/>
          <w:sz w:val="24"/>
        </w:rPr>
        <w:t xml:space="preserve">kan </w:t>
      </w:r>
      <w:r>
        <w:rPr>
          <w:rFonts w:ascii="Times New Roman" w:hAnsi="Times New Roman"/>
          <w:sz w:val="24"/>
        </w:rPr>
        <w:t xml:space="preserve">worden </w:t>
      </w:r>
      <w:r w:rsidR="00EE24DA">
        <w:rPr>
          <w:rFonts w:ascii="Times New Roman" w:hAnsi="Times New Roman"/>
          <w:sz w:val="24"/>
        </w:rPr>
        <w:t xml:space="preserve">vermeden, </w:t>
      </w:r>
      <w:r>
        <w:rPr>
          <w:rFonts w:ascii="Times New Roman" w:hAnsi="Times New Roman"/>
          <w:sz w:val="24"/>
        </w:rPr>
        <w:t>als</w:t>
      </w:r>
      <w:r w:rsidR="00EE24DA">
        <w:rPr>
          <w:rFonts w:ascii="Times New Roman" w:hAnsi="Times New Roman"/>
          <w:sz w:val="24"/>
        </w:rPr>
        <w:t xml:space="preserve"> belediging van de Koning, net als de commune beledigingsdelicten</w:t>
      </w:r>
      <w:r w:rsidR="007A4CC7">
        <w:rPr>
          <w:rFonts w:ascii="Times New Roman" w:hAnsi="Times New Roman"/>
          <w:sz w:val="24"/>
        </w:rPr>
        <w:t>,</w:t>
      </w:r>
      <w:r w:rsidR="00EE24DA">
        <w:rPr>
          <w:rFonts w:ascii="Times New Roman" w:hAnsi="Times New Roman"/>
          <w:sz w:val="24"/>
        </w:rPr>
        <w:t xml:space="preserve"> alleen op </w:t>
      </w:r>
      <w:r w:rsidR="007A4CC7">
        <w:rPr>
          <w:rFonts w:ascii="Times New Roman" w:hAnsi="Times New Roman"/>
          <w:sz w:val="24"/>
        </w:rPr>
        <w:t>klacht</w:t>
      </w:r>
      <w:r w:rsidR="00EE24DA">
        <w:rPr>
          <w:rFonts w:ascii="Times New Roman" w:hAnsi="Times New Roman"/>
          <w:sz w:val="24"/>
        </w:rPr>
        <w:t xml:space="preserve"> </w:t>
      </w:r>
      <w:r w:rsidR="0081127D">
        <w:rPr>
          <w:rFonts w:ascii="Times New Roman" w:hAnsi="Times New Roman"/>
          <w:sz w:val="24"/>
        </w:rPr>
        <w:t xml:space="preserve">kan worden </w:t>
      </w:r>
      <w:r w:rsidR="00EE24DA">
        <w:rPr>
          <w:rFonts w:ascii="Times New Roman" w:hAnsi="Times New Roman"/>
          <w:sz w:val="24"/>
        </w:rPr>
        <w:t xml:space="preserve">vervolgd. </w:t>
      </w:r>
    </w:p>
    <w:p w:rsidR="00902AF6" w:rsidRPr="00902AF6" w:rsidRDefault="00902AF6" w:rsidP="00902AF6">
      <w:pPr>
        <w:rPr>
          <w:rFonts w:ascii="Times New Roman" w:hAnsi="Times New Roman"/>
          <w:sz w:val="24"/>
        </w:rPr>
      </w:pPr>
    </w:p>
    <w:p w:rsidR="008A0162" w:rsidRDefault="008A0162" w:rsidP="005D44DE">
      <w:pPr>
        <w:rPr>
          <w:rFonts w:ascii="Times New Roman" w:hAnsi="Times New Roman"/>
          <w:i/>
          <w:sz w:val="24"/>
        </w:rPr>
      </w:pPr>
      <w:r w:rsidRPr="00CF282F">
        <w:rPr>
          <w:rFonts w:ascii="Times New Roman" w:hAnsi="Times New Roman"/>
          <w:i/>
          <w:sz w:val="24"/>
        </w:rPr>
        <w:t xml:space="preserve">4. </w:t>
      </w:r>
      <w:r w:rsidR="00450C79">
        <w:rPr>
          <w:rFonts w:ascii="Times New Roman" w:hAnsi="Times New Roman"/>
          <w:i/>
          <w:sz w:val="24"/>
        </w:rPr>
        <w:t xml:space="preserve">Gevolgen </w:t>
      </w:r>
    </w:p>
    <w:p w:rsidR="006A59A2" w:rsidRDefault="006A59A2" w:rsidP="006A59A2">
      <w:pPr>
        <w:rPr>
          <w:rFonts w:ascii="Times New Roman" w:hAnsi="Times New Roman"/>
          <w:sz w:val="24"/>
        </w:rPr>
      </w:pPr>
    </w:p>
    <w:p w:rsidR="007A5481" w:rsidRPr="007A5481" w:rsidRDefault="007A5481" w:rsidP="006A59A2">
      <w:pPr>
        <w:rPr>
          <w:rFonts w:ascii="Times New Roman" w:hAnsi="Times New Roman"/>
          <w:i/>
          <w:sz w:val="24"/>
        </w:rPr>
      </w:pPr>
      <w:r w:rsidRPr="007A5481">
        <w:rPr>
          <w:rFonts w:ascii="Times New Roman" w:hAnsi="Times New Roman"/>
          <w:i/>
          <w:sz w:val="24"/>
        </w:rPr>
        <w:t>4.1. Klachtdelicten</w:t>
      </w:r>
    </w:p>
    <w:p w:rsidR="007A5481" w:rsidRDefault="007A5481" w:rsidP="006A59A2">
      <w:pPr>
        <w:rPr>
          <w:rFonts w:ascii="Times New Roman" w:hAnsi="Times New Roman"/>
          <w:sz w:val="24"/>
        </w:rPr>
      </w:pPr>
    </w:p>
    <w:p w:rsidR="007A5481" w:rsidRPr="0080333D" w:rsidRDefault="007A5481" w:rsidP="007A5481">
      <w:pPr>
        <w:rPr>
          <w:rFonts w:ascii="Times New Roman" w:hAnsi="Times New Roman"/>
          <w:sz w:val="24"/>
        </w:rPr>
      </w:pPr>
      <w:r>
        <w:rPr>
          <w:rFonts w:ascii="Times New Roman" w:hAnsi="Times New Roman"/>
          <w:sz w:val="24"/>
        </w:rPr>
        <w:t xml:space="preserve">Het </w:t>
      </w:r>
      <w:r w:rsidR="00E77F0A" w:rsidRPr="00E77F0A">
        <w:rPr>
          <w:rFonts w:ascii="Times New Roman" w:hAnsi="Times New Roman"/>
          <w:sz w:val="24"/>
        </w:rPr>
        <w:t xml:space="preserve">wetsvoorstel </w:t>
      </w:r>
      <w:r w:rsidR="00EA7909">
        <w:rPr>
          <w:rFonts w:ascii="Times New Roman" w:hAnsi="Times New Roman"/>
          <w:sz w:val="24"/>
        </w:rPr>
        <w:t xml:space="preserve">heeft tot gevolg dat </w:t>
      </w:r>
      <w:r w:rsidR="00EA7909" w:rsidRPr="00EA7909">
        <w:rPr>
          <w:rFonts w:ascii="Times New Roman" w:hAnsi="Times New Roman"/>
          <w:sz w:val="24"/>
        </w:rPr>
        <w:t>belediging van de Koning</w:t>
      </w:r>
      <w:r w:rsidR="00EA7909">
        <w:rPr>
          <w:rFonts w:ascii="Times New Roman" w:hAnsi="Times New Roman"/>
          <w:sz w:val="24"/>
        </w:rPr>
        <w:t xml:space="preserve"> en van bevriende staatshoofden </w:t>
      </w:r>
      <w:r w:rsidR="00EA7909" w:rsidRPr="00EA7909">
        <w:rPr>
          <w:rFonts w:ascii="Times New Roman" w:hAnsi="Times New Roman"/>
          <w:sz w:val="24"/>
        </w:rPr>
        <w:t xml:space="preserve">alleen op klacht kan worden vervolgd. </w:t>
      </w:r>
      <w:r w:rsidR="00EA7909">
        <w:rPr>
          <w:rFonts w:ascii="Times New Roman" w:hAnsi="Times New Roman"/>
          <w:sz w:val="24"/>
        </w:rPr>
        <w:t xml:space="preserve">Dat leid </w:t>
      </w:r>
      <w:r w:rsidR="00E77F0A" w:rsidRPr="00E77F0A">
        <w:rPr>
          <w:rFonts w:ascii="Times New Roman" w:hAnsi="Times New Roman"/>
          <w:sz w:val="24"/>
        </w:rPr>
        <w:t>er niet toe</w:t>
      </w:r>
      <w:r w:rsidR="00EA7909">
        <w:rPr>
          <w:rFonts w:ascii="Times New Roman" w:hAnsi="Times New Roman"/>
          <w:sz w:val="24"/>
        </w:rPr>
        <w:t>,</w:t>
      </w:r>
      <w:r w:rsidR="00E77F0A" w:rsidRPr="00E77F0A">
        <w:rPr>
          <w:rFonts w:ascii="Times New Roman" w:hAnsi="Times New Roman"/>
          <w:sz w:val="24"/>
        </w:rPr>
        <w:t xml:space="preserve"> dat </w:t>
      </w:r>
      <w:r w:rsidR="00EA7909">
        <w:rPr>
          <w:rFonts w:ascii="Times New Roman" w:hAnsi="Times New Roman"/>
          <w:sz w:val="24"/>
        </w:rPr>
        <w:t xml:space="preserve">aan </w:t>
      </w:r>
      <w:r w:rsidR="00E77F0A" w:rsidRPr="00E77F0A">
        <w:rPr>
          <w:rFonts w:ascii="Times New Roman" w:hAnsi="Times New Roman"/>
          <w:sz w:val="24"/>
        </w:rPr>
        <w:t>de Koning minder rechtsmiddelen t</w:t>
      </w:r>
      <w:r w:rsidR="00EA7909">
        <w:rPr>
          <w:rFonts w:ascii="Times New Roman" w:hAnsi="Times New Roman"/>
          <w:sz w:val="24"/>
        </w:rPr>
        <w:t xml:space="preserve">er </w:t>
      </w:r>
      <w:r w:rsidR="00E77F0A" w:rsidRPr="00E77F0A">
        <w:rPr>
          <w:rFonts w:ascii="Times New Roman" w:hAnsi="Times New Roman"/>
          <w:sz w:val="24"/>
        </w:rPr>
        <w:t xml:space="preserve">beschikking </w:t>
      </w:r>
      <w:r w:rsidR="00EA7909">
        <w:rPr>
          <w:rFonts w:ascii="Times New Roman" w:hAnsi="Times New Roman"/>
          <w:sz w:val="24"/>
        </w:rPr>
        <w:t xml:space="preserve">staan </w:t>
      </w:r>
      <w:r w:rsidR="00E77F0A" w:rsidRPr="00E77F0A">
        <w:rPr>
          <w:rFonts w:ascii="Times New Roman" w:hAnsi="Times New Roman"/>
          <w:sz w:val="24"/>
        </w:rPr>
        <w:t xml:space="preserve">dan andere Nederlanders. Ook zonder versterkte bescherming voor de Koning blijven er </w:t>
      </w:r>
      <w:r w:rsidR="0081127D">
        <w:rPr>
          <w:rFonts w:ascii="Times New Roman" w:hAnsi="Times New Roman"/>
          <w:sz w:val="24"/>
        </w:rPr>
        <w:t xml:space="preserve">mogelijkheden waardoor </w:t>
      </w:r>
      <w:r w:rsidR="0081127D" w:rsidRPr="00E77F0A">
        <w:rPr>
          <w:rFonts w:ascii="Times New Roman" w:hAnsi="Times New Roman"/>
          <w:sz w:val="24"/>
        </w:rPr>
        <w:t xml:space="preserve">belediging </w:t>
      </w:r>
      <w:r w:rsidR="0081127D">
        <w:rPr>
          <w:rFonts w:ascii="Times New Roman" w:hAnsi="Times New Roman"/>
          <w:sz w:val="24"/>
        </w:rPr>
        <w:t xml:space="preserve">van hem strafrechtelijk kan worden vervolgd. </w:t>
      </w:r>
      <w:r>
        <w:rPr>
          <w:rFonts w:ascii="Times New Roman" w:hAnsi="Times New Roman"/>
          <w:sz w:val="24"/>
        </w:rPr>
        <w:t xml:space="preserve">Daarvoor bestaan de commune beledigingsdelicten smaad en smaadschrift (art. 261 Sr), laster (art. 262 Sr) en eenvoudige belediging (art. 266 Sr). </w:t>
      </w:r>
    </w:p>
    <w:p w:rsidR="00450C79" w:rsidRPr="00450C79" w:rsidRDefault="00450C79" w:rsidP="00450C79">
      <w:pPr>
        <w:rPr>
          <w:rFonts w:ascii="Times New Roman" w:hAnsi="Times New Roman"/>
          <w:sz w:val="24"/>
        </w:rPr>
      </w:pPr>
    </w:p>
    <w:p w:rsidR="007A4CC7" w:rsidRDefault="00450C79" w:rsidP="00450C79">
      <w:pPr>
        <w:rPr>
          <w:rFonts w:ascii="Times New Roman" w:hAnsi="Times New Roman"/>
          <w:sz w:val="24"/>
        </w:rPr>
      </w:pPr>
      <w:r w:rsidRPr="00450C79">
        <w:rPr>
          <w:rFonts w:ascii="Times New Roman" w:hAnsi="Times New Roman"/>
          <w:sz w:val="24"/>
        </w:rPr>
        <w:t xml:space="preserve">Smaad, </w:t>
      </w:r>
      <w:r w:rsidR="008C6E67">
        <w:rPr>
          <w:rFonts w:ascii="Times New Roman" w:hAnsi="Times New Roman"/>
          <w:sz w:val="24"/>
        </w:rPr>
        <w:t xml:space="preserve">smaadschrift, </w:t>
      </w:r>
      <w:r w:rsidRPr="00450C79">
        <w:rPr>
          <w:rFonts w:ascii="Times New Roman" w:hAnsi="Times New Roman"/>
          <w:sz w:val="24"/>
        </w:rPr>
        <w:t xml:space="preserve">laster en eenvoudige belediging zijn klachtdelicten: er wordt alleen tot vervolging overgegaan indien door </w:t>
      </w:r>
      <w:r w:rsidR="008C6E67">
        <w:rPr>
          <w:rFonts w:ascii="Times New Roman" w:hAnsi="Times New Roman"/>
          <w:sz w:val="24"/>
        </w:rPr>
        <w:t>het slachtoffer</w:t>
      </w:r>
      <w:r w:rsidRPr="00450C79">
        <w:rPr>
          <w:rFonts w:ascii="Times New Roman" w:hAnsi="Times New Roman"/>
          <w:sz w:val="24"/>
        </w:rPr>
        <w:t xml:space="preserve"> een klacht wordt ingediend. In </w:t>
      </w:r>
      <w:r w:rsidR="007A4CC7">
        <w:rPr>
          <w:rFonts w:ascii="Times New Roman" w:hAnsi="Times New Roman"/>
          <w:sz w:val="24"/>
        </w:rPr>
        <w:t xml:space="preserve">de </w:t>
      </w:r>
      <w:r w:rsidRPr="00450C79">
        <w:rPr>
          <w:rFonts w:ascii="Times New Roman" w:hAnsi="Times New Roman"/>
          <w:sz w:val="24"/>
        </w:rPr>
        <w:t xml:space="preserve">artikelen 64 en 65 Sr wordt geregeld wie de klachtgerechtigde is. In de regel is dat degene tegen wie het feit </w:t>
      </w:r>
      <w:r w:rsidR="00141377" w:rsidRPr="00450C79">
        <w:rPr>
          <w:rFonts w:ascii="Times New Roman" w:hAnsi="Times New Roman"/>
          <w:sz w:val="24"/>
        </w:rPr>
        <w:t xml:space="preserve">is </w:t>
      </w:r>
      <w:r w:rsidRPr="00450C79">
        <w:rPr>
          <w:rFonts w:ascii="Times New Roman" w:hAnsi="Times New Roman"/>
          <w:sz w:val="24"/>
        </w:rPr>
        <w:t>begaan. In het geval van belediging van de Koning</w:t>
      </w:r>
      <w:r w:rsidR="007A4CC7">
        <w:rPr>
          <w:rFonts w:ascii="Times New Roman" w:hAnsi="Times New Roman"/>
          <w:sz w:val="24"/>
        </w:rPr>
        <w:t xml:space="preserve"> is derhalve </w:t>
      </w:r>
      <w:r w:rsidR="007A4CC7" w:rsidRPr="00450C79">
        <w:rPr>
          <w:rFonts w:ascii="Times New Roman" w:hAnsi="Times New Roman"/>
          <w:sz w:val="24"/>
        </w:rPr>
        <w:t xml:space="preserve">de Koning </w:t>
      </w:r>
      <w:r w:rsidRPr="00450C79">
        <w:rPr>
          <w:rFonts w:ascii="Times New Roman" w:hAnsi="Times New Roman"/>
          <w:sz w:val="24"/>
        </w:rPr>
        <w:t xml:space="preserve">de klachtgerechtigde. </w:t>
      </w:r>
      <w:r w:rsidR="007A4CC7" w:rsidRPr="00450C79">
        <w:rPr>
          <w:rFonts w:ascii="Times New Roman" w:hAnsi="Times New Roman"/>
          <w:sz w:val="24"/>
        </w:rPr>
        <w:t>Dat houdt in dat de Koning zelf een klacht kan indienen wegens smaad, laster of e</w:t>
      </w:r>
      <w:r w:rsidR="002B727C">
        <w:rPr>
          <w:rFonts w:ascii="Times New Roman" w:hAnsi="Times New Roman"/>
          <w:sz w:val="24"/>
        </w:rPr>
        <w:t>envoudige</w:t>
      </w:r>
      <w:r w:rsidR="007A4CC7" w:rsidRPr="00450C79">
        <w:rPr>
          <w:rFonts w:ascii="Times New Roman" w:hAnsi="Times New Roman"/>
          <w:sz w:val="24"/>
        </w:rPr>
        <w:t xml:space="preserve"> belediging</w:t>
      </w:r>
      <w:r w:rsidR="007A4CC7">
        <w:rPr>
          <w:rFonts w:ascii="Times New Roman" w:hAnsi="Times New Roman"/>
          <w:sz w:val="24"/>
        </w:rPr>
        <w:t>,</w:t>
      </w:r>
      <w:r w:rsidR="007A4CC7" w:rsidRPr="00450C79">
        <w:rPr>
          <w:rFonts w:ascii="Times New Roman" w:hAnsi="Times New Roman"/>
          <w:sz w:val="24"/>
        </w:rPr>
        <w:t xml:space="preserve"> indien hij daartoe wenst over te gaan.</w:t>
      </w:r>
      <w:r w:rsidR="00641704">
        <w:rPr>
          <w:rFonts w:ascii="Times New Roman" w:hAnsi="Times New Roman"/>
          <w:sz w:val="24"/>
        </w:rPr>
        <w:t xml:space="preserve"> Dat heeft ook voordelen. Hierdoor wordt voorkomen dat daders vervolgd worden voor al te futiele feiten.</w:t>
      </w:r>
    </w:p>
    <w:p w:rsidR="00641704" w:rsidRDefault="00641704" w:rsidP="00450C79">
      <w:pPr>
        <w:rPr>
          <w:rFonts w:ascii="Times New Roman" w:hAnsi="Times New Roman"/>
          <w:sz w:val="24"/>
        </w:rPr>
      </w:pPr>
    </w:p>
    <w:p w:rsidR="0080333D" w:rsidRDefault="0080333D" w:rsidP="00450C79">
      <w:pPr>
        <w:rPr>
          <w:rFonts w:ascii="Times New Roman" w:hAnsi="Times New Roman"/>
          <w:sz w:val="24"/>
        </w:rPr>
      </w:pPr>
      <w:r>
        <w:rPr>
          <w:rFonts w:ascii="Times New Roman" w:hAnsi="Times New Roman"/>
          <w:sz w:val="24"/>
        </w:rPr>
        <w:t xml:space="preserve">De klacht kan </w:t>
      </w:r>
      <w:r w:rsidR="007A4CC7" w:rsidRPr="00450C79">
        <w:rPr>
          <w:rFonts w:ascii="Times New Roman" w:hAnsi="Times New Roman"/>
          <w:sz w:val="24"/>
        </w:rPr>
        <w:t xml:space="preserve">op </w:t>
      </w:r>
      <w:r>
        <w:rPr>
          <w:rFonts w:ascii="Times New Roman" w:hAnsi="Times New Roman"/>
          <w:sz w:val="24"/>
        </w:rPr>
        <w:t xml:space="preserve">grond van de </w:t>
      </w:r>
      <w:r w:rsidR="007A4CC7" w:rsidRPr="00450C79">
        <w:rPr>
          <w:rFonts w:ascii="Times New Roman" w:hAnsi="Times New Roman"/>
          <w:sz w:val="24"/>
        </w:rPr>
        <w:t>artikel</w:t>
      </w:r>
      <w:r>
        <w:rPr>
          <w:rFonts w:ascii="Times New Roman" w:hAnsi="Times New Roman"/>
          <w:sz w:val="24"/>
        </w:rPr>
        <w:t>en</w:t>
      </w:r>
      <w:r w:rsidR="007A4CC7" w:rsidRPr="00450C79">
        <w:rPr>
          <w:rFonts w:ascii="Times New Roman" w:hAnsi="Times New Roman"/>
          <w:sz w:val="24"/>
        </w:rPr>
        <w:t xml:space="preserve"> 16</w:t>
      </w:r>
      <w:r w:rsidR="007A4CC7">
        <w:rPr>
          <w:rFonts w:ascii="Times New Roman" w:hAnsi="Times New Roman"/>
          <w:sz w:val="24"/>
        </w:rPr>
        <w:t>3</w:t>
      </w:r>
      <w:r>
        <w:rPr>
          <w:rFonts w:ascii="Times New Roman" w:hAnsi="Times New Roman"/>
          <w:sz w:val="24"/>
        </w:rPr>
        <w:t xml:space="preserve"> en 164</w:t>
      </w:r>
      <w:r w:rsidR="007A4CC7">
        <w:rPr>
          <w:rFonts w:ascii="Times New Roman" w:hAnsi="Times New Roman"/>
          <w:sz w:val="24"/>
        </w:rPr>
        <w:t xml:space="preserve"> </w:t>
      </w:r>
      <w:r w:rsidR="007C6030">
        <w:rPr>
          <w:rFonts w:ascii="Times New Roman" w:hAnsi="Times New Roman"/>
          <w:sz w:val="24"/>
        </w:rPr>
        <w:t>Wetboek van S</w:t>
      </w:r>
      <w:r w:rsidR="00A222DA">
        <w:rPr>
          <w:rFonts w:ascii="Times New Roman" w:hAnsi="Times New Roman"/>
          <w:sz w:val="24"/>
        </w:rPr>
        <w:t>trafvordering</w:t>
      </w:r>
      <w:r w:rsidR="007A4CC7" w:rsidRPr="00450C79">
        <w:rPr>
          <w:rFonts w:ascii="Times New Roman" w:hAnsi="Times New Roman"/>
          <w:sz w:val="24"/>
        </w:rPr>
        <w:t xml:space="preserve"> schriftelijk </w:t>
      </w:r>
      <w:r>
        <w:rPr>
          <w:rFonts w:ascii="Times New Roman" w:hAnsi="Times New Roman"/>
          <w:sz w:val="24"/>
        </w:rPr>
        <w:t xml:space="preserve">of elektronisch worden ingediend </w:t>
      </w:r>
      <w:r w:rsidR="007A4CC7" w:rsidRPr="00450C79">
        <w:rPr>
          <w:rFonts w:ascii="Times New Roman" w:hAnsi="Times New Roman"/>
          <w:sz w:val="24"/>
        </w:rPr>
        <w:t>bij een opsporingsambtenaar</w:t>
      </w:r>
      <w:r>
        <w:rPr>
          <w:rFonts w:ascii="Times New Roman" w:hAnsi="Times New Roman"/>
          <w:sz w:val="24"/>
        </w:rPr>
        <w:t xml:space="preserve">, hetzij door de betrokkene zelf, hetzij </w:t>
      </w:r>
      <w:r w:rsidR="0081127D">
        <w:rPr>
          <w:rFonts w:ascii="Times New Roman" w:hAnsi="Times New Roman"/>
          <w:sz w:val="24"/>
        </w:rPr>
        <w:t xml:space="preserve">namens hem </w:t>
      </w:r>
      <w:r>
        <w:rPr>
          <w:rFonts w:ascii="Times New Roman" w:hAnsi="Times New Roman"/>
          <w:sz w:val="24"/>
        </w:rPr>
        <w:t xml:space="preserve">door </w:t>
      </w:r>
      <w:r w:rsidR="007A4CC7" w:rsidRPr="00450C79">
        <w:rPr>
          <w:rFonts w:ascii="Times New Roman" w:hAnsi="Times New Roman"/>
          <w:sz w:val="24"/>
        </w:rPr>
        <w:t xml:space="preserve">een ander </w:t>
      </w:r>
      <w:r>
        <w:rPr>
          <w:rFonts w:ascii="Times New Roman" w:hAnsi="Times New Roman"/>
          <w:sz w:val="24"/>
        </w:rPr>
        <w:t xml:space="preserve">die voorzien is van een </w:t>
      </w:r>
      <w:r w:rsidR="007A4CC7" w:rsidRPr="00450C79">
        <w:rPr>
          <w:rFonts w:ascii="Times New Roman" w:hAnsi="Times New Roman"/>
          <w:sz w:val="24"/>
        </w:rPr>
        <w:t>schriftelijke volmacht</w:t>
      </w:r>
      <w:r>
        <w:rPr>
          <w:rFonts w:ascii="Times New Roman" w:hAnsi="Times New Roman"/>
          <w:sz w:val="24"/>
        </w:rPr>
        <w:t xml:space="preserve">. </w:t>
      </w:r>
      <w:r w:rsidR="007A4CC7" w:rsidRPr="00450C79">
        <w:rPr>
          <w:rFonts w:ascii="Times New Roman" w:hAnsi="Times New Roman"/>
          <w:sz w:val="24"/>
        </w:rPr>
        <w:t xml:space="preserve"> </w:t>
      </w:r>
    </w:p>
    <w:p w:rsidR="007A4CC7" w:rsidRDefault="00450C79" w:rsidP="00450C79">
      <w:pPr>
        <w:rPr>
          <w:rFonts w:ascii="Times New Roman" w:hAnsi="Times New Roman"/>
          <w:sz w:val="24"/>
        </w:rPr>
      </w:pPr>
      <w:r w:rsidRPr="00450C79">
        <w:rPr>
          <w:rFonts w:ascii="Times New Roman" w:hAnsi="Times New Roman"/>
          <w:sz w:val="24"/>
        </w:rPr>
        <w:t xml:space="preserve">De klacht kan blijkens artikel 66 Sr ingediend worden gedurende drie maanden na de dag waarop de tot de klacht gerechtigde kennis genomen heeft van het gepleegde feit. </w:t>
      </w:r>
      <w:r w:rsidR="007C6030">
        <w:rPr>
          <w:rFonts w:ascii="Times New Roman" w:hAnsi="Times New Roman"/>
          <w:sz w:val="24"/>
        </w:rPr>
        <w:t>N</w:t>
      </w:r>
      <w:r w:rsidRPr="00450C79">
        <w:rPr>
          <w:rFonts w:ascii="Times New Roman" w:hAnsi="Times New Roman"/>
          <w:sz w:val="24"/>
        </w:rPr>
        <w:t xml:space="preserve">a het indienen van de klacht </w:t>
      </w:r>
      <w:r w:rsidR="007C6030">
        <w:rPr>
          <w:rFonts w:ascii="Times New Roman" w:hAnsi="Times New Roman"/>
          <w:sz w:val="24"/>
        </w:rPr>
        <w:t xml:space="preserve">is er ingevolge </w:t>
      </w:r>
      <w:r w:rsidR="007C6030" w:rsidRPr="00450C79">
        <w:rPr>
          <w:rFonts w:ascii="Times New Roman" w:hAnsi="Times New Roman"/>
          <w:sz w:val="24"/>
        </w:rPr>
        <w:t xml:space="preserve">artikel 67 Sr </w:t>
      </w:r>
      <w:r w:rsidRPr="00450C79">
        <w:rPr>
          <w:rFonts w:ascii="Times New Roman" w:hAnsi="Times New Roman"/>
          <w:sz w:val="24"/>
        </w:rPr>
        <w:t xml:space="preserve">een bezinningsperiode van acht dagen, gedurende welke de indiener de klacht </w:t>
      </w:r>
      <w:r w:rsidR="007C6030">
        <w:rPr>
          <w:rFonts w:ascii="Times New Roman" w:hAnsi="Times New Roman"/>
          <w:sz w:val="24"/>
        </w:rPr>
        <w:t xml:space="preserve">nog </w:t>
      </w:r>
      <w:r w:rsidRPr="00450C79">
        <w:rPr>
          <w:rFonts w:ascii="Times New Roman" w:hAnsi="Times New Roman"/>
          <w:sz w:val="24"/>
        </w:rPr>
        <w:t xml:space="preserve">mag intrekken. </w:t>
      </w:r>
    </w:p>
    <w:p w:rsidR="00450C79" w:rsidRPr="00450C79" w:rsidRDefault="00450C79" w:rsidP="00450C79">
      <w:pPr>
        <w:rPr>
          <w:rFonts w:ascii="Times New Roman" w:hAnsi="Times New Roman"/>
          <w:sz w:val="24"/>
        </w:rPr>
      </w:pPr>
      <w:r w:rsidRPr="00450C79">
        <w:rPr>
          <w:rFonts w:ascii="Times New Roman" w:hAnsi="Times New Roman"/>
          <w:sz w:val="24"/>
        </w:rPr>
        <w:t xml:space="preserve">De politie kan vervolgens onderzoek doen en het Openbaar Minister kan vervolging instellen. </w:t>
      </w:r>
    </w:p>
    <w:p w:rsidR="00450C79" w:rsidRPr="00450C79" w:rsidRDefault="00450C79" w:rsidP="00450C79">
      <w:pPr>
        <w:rPr>
          <w:rFonts w:ascii="Times New Roman" w:hAnsi="Times New Roman"/>
          <w:sz w:val="24"/>
        </w:rPr>
      </w:pPr>
    </w:p>
    <w:p w:rsidR="009E60C1" w:rsidRPr="00450C79" w:rsidRDefault="007A5481" w:rsidP="009E60C1">
      <w:pPr>
        <w:rPr>
          <w:rFonts w:ascii="Times New Roman" w:hAnsi="Times New Roman"/>
          <w:sz w:val="24"/>
        </w:rPr>
      </w:pPr>
      <w:r>
        <w:rPr>
          <w:rFonts w:ascii="Times New Roman" w:hAnsi="Times New Roman"/>
          <w:sz w:val="24"/>
        </w:rPr>
        <w:t xml:space="preserve">Het indienen van een </w:t>
      </w:r>
      <w:r w:rsidR="00653C36">
        <w:rPr>
          <w:rFonts w:ascii="Times New Roman" w:hAnsi="Times New Roman"/>
          <w:sz w:val="24"/>
        </w:rPr>
        <w:t>straf</w:t>
      </w:r>
      <w:r>
        <w:rPr>
          <w:rFonts w:ascii="Times New Roman" w:hAnsi="Times New Roman"/>
          <w:sz w:val="24"/>
        </w:rPr>
        <w:t xml:space="preserve">klacht verschilt niet wezenlijk van </w:t>
      </w:r>
      <w:r w:rsidR="009E60C1">
        <w:rPr>
          <w:rFonts w:ascii="Times New Roman" w:hAnsi="Times New Roman"/>
          <w:sz w:val="24"/>
        </w:rPr>
        <w:t xml:space="preserve">het actieve handelen waartoe </w:t>
      </w:r>
      <w:r w:rsidR="007C6030">
        <w:rPr>
          <w:rFonts w:ascii="Times New Roman" w:hAnsi="Times New Roman"/>
          <w:sz w:val="24"/>
        </w:rPr>
        <w:t>een</w:t>
      </w:r>
      <w:r w:rsidR="009E60C1">
        <w:rPr>
          <w:rFonts w:ascii="Times New Roman" w:hAnsi="Times New Roman"/>
          <w:sz w:val="24"/>
        </w:rPr>
        <w:t xml:space="preserve"> burger moet overgaan als hij langs civielrechtelijke </w:t>
      </w:r>
      <w:r w:rsidR="007C6030">
        <w:rPr>
          <w:rFonts w:ascii="Times New Roman" w:hAnsi="Times New Roman"/>
          <w:sz w:val="24"/>
        </w:rPr>
        <w:t xml:space="preserve">weg </w:t>
      </w:r>
      <w:r w:rsidR="009E60C1">
        <w:rPr>
          <w:rFonts w:ascii="Times New Roman" w:hAnsi="Times New Roman"/>
          <w:sz w:val="24"/>
        </w:rPr>
        <w:t xml:space="preserve">wil opkomen voor zijn belangen. Die weg is </w:t>
      </w:r>
      <w:r w:rsidR="0081127D">
        <w:rPr>
          <w:rFonts w:ascii="Times New Roman" w:hAnsi="Times New Roman"/>
          <w:sz w:val="24"/>
        </w:rPr>
        <w:t xml:space="preserve">ook </w:t>
      </w:r>
      <w:r w:rsidR="009E60C1">
        <w:rPr>
          <w:rFonts w:ascii="Times New Roman" w:hAnsi="Times New Roman"/>
          <w:sz w:val="24"/>
        </w:rPr>
        <w:t xml:space="preserve">voor de Koning </w:t>
      </w:r>
      <w:r w:rsidR="00BB4D64">
        <w:rPr>
          <w:rFonts w:ascii="Times New Roman" w:hAnsi="Times New Roman"/>
          <w:sz w:val="24"/>
        </w:rPr>
        <w:t xml:space="preserve">en zijn echtgenote </w:t>
      </w:r>
      <w:r w:rsidR="009E60C1">
        <w:rPr>
          <w:rFonts w:ascii="Times New Roman" w:hAnsi="Times New Roman"/>
          <w:sz w:val="24"/>
        </w:rPr>
        <w:t>al vele malen niet bezwaarlijk gebleken.</w:t>
      </w:r>
      <w:r w:rsidR="009E60C1">
        <w:rPr>
          <w:rStyle w:val="Voetnootmarkering"/>
          <w:rFonts w:ascii="Times New Roman" w:hAnsi="Times New Roman"/>
          <w:sz w:val="24"/>
        </w:rPr>
        <w:footnoteReference w:id="28"/>
      </w:r>
      <w:r w:rsidR="009E60C1">
        <w:rPr>
          <w:rFonts w:ascii="Times New Roman" w:hAnsi="Times New Roman"/>
          <w:sz w:val="24"/>
        </w:rPr>
        <w:t xml:space="preserve"> </w:t>
      </w:r>
    </w:p>
    <w:p w:rsidR="007A5481" w:rsidRDefault="007A5481" w:rsidP="0080333D">
      <w:pPr>
        <w:rPr>
          <w:rFonts w:ascii="Times New Roman" w:hAnsi="Times New Roman"/>
          <w:sz w:val="24"/>
        </w:rPr>
      </w:pPr>
    </w:p>
    <w:p w:rsidR="00653C36" w:rsidRPr="00653C36" w:rsidRDefault="00653C36" w:rsidP="0080333D">
      <w:pPr>
        <w:rPr>
          <w:rFonts w:ascii="Times New Roman" w:hAnsi="Times New Roman"/>
          <w:i/>
          <w:sz w:val="24"/>
        </w:rPr>
      </w:pPr>
      <w:r w:rsidRPr="00653C36">
        <w:rPr>
          <w:rFonts w:ascii="Times New Roman" w:hAnsi="Times New Roman"/>
          <w:i/>
          <w:sz w:val="24"/>
        </w:rPr>
        <w:t>4.2</w:t>
      </w:r>
      <w:r>
        <w:rPr>
          <w:rFonts w:ascii="Times New Roman" w:hAnsi="Times New Roman"/>
          <w:i/>
          <w:sz w:val="24"/>
        </w:rPr>
        <w:t>.</w:t>
      </w:r>
      <w:r w:rsidRPr="00653C36">
        <w:rPr>
          <w:rFonts w:ascii="Times New Roman" w:hAnsi="Times New Roman"/>
          <w:i/>
          <w:sz w:val="24"/>
        </w:rPr>
        <w:t xml:space="preserve"> </w:t>
      </w:r>
      <w:r w:rsidR="001F78FB">
        <w:rPr>
          <w:rFonts w:ascii="Times New Roman" w:hAnsi="Times New Roman"/>
          <w:i/>
          <w:sz w:val="24"/>
        </w:rPr>
        <w:t>B</w:t>
      </w:r>
      <w:r w:rsidR="00CD057E">
        <w:rPr>
          <w:rFonts w:ascii="Times New Roman" w:hAnsi="Times New Roman"/>
          <w:i/>
          <w:sz w:val="24"/>
        </w:rPr>
        <w:t>eledi</w:t>
      </w:r>
      <w:r w:rsidR="00C04F46">
        <w:rPr>
          <w:rFonts w:ascii="Times New Roman" w:hAnsi="Times New Roman"/>
          <w:i/>
          <w:sz w:val="24"/>
        </w:rPr>
        <w:t xml:space="preserve">ging van </w:t>
      </w:r>
      <w:r w:rsidR="00CD057E">
        <w:rPr>
          <w:rFonts w:ascii="Times New Roman" w:hAnsi="Times New Roman"/>
          <w:i/>
          <w:sz w:val="24"/>
        </w:rPr>
        <w:t>openbare instellingen</w:t>
      </w:r>
      <w:r w:rsidR="00C04F46">
        <w:rPr>
          <w:rFonts w:ascii="Times New Roman" w:hAnsi="Times New Roman"/>
          <w:i/>
          <w:sz w:val="24"/>
        </w:rPr>
        <w:t>, volksvertegenwoordigers en bestuurders</w:t>
      </w:r>
    </w:p>
    <w:p w:rsidR="00653C36" w:rsidRDefault="00653C36" w:rsidP="0080333D">
      <w:pPr>
        <w:rPr>
          <w:rFonts w:ascii="Times New Roman" w:hAnsi="Times New Roman"/>
          <w:sz w:val="24"/>
        </w:rPr>
      </w:pPr>
    </w:p>
    <w:p w:rsidR="00C04F46" w:rsidRDefault="001D2407" w:rsidP="00450C79">
      <w:pPr>
        <w:rPr>
          <w:rFonts w:ascii="Times New Roman" w:hAnsi="Times New Roman"/>
          <w:sz w:val="24"/>
        </w:rPr>
      </w:pPr>
      <w:r>
        <w:rPr>
          <w:rFonts w:ascii="Times New Roman" w:hAnsi="Times New Roman"/>
          <w:sz w:val="24"/>
        </w:rPr>
        <w:t>De initiatiefnemer acht</w:t>
      </w:r>
      <w:r w:rsidR="00C04F46">
        <w:rPr>
          <w:rFonts w:ascii="Times New Roman" w:hAnsi="Times New Roman"/>
          <w:sz w:val="24"/>
        </w:rPr>
        <w:t xml:space="preserve"> het onwenselijk, als het wetsvoorstel tot gevolg zou hebben dat louter </w:t>
      </w:r>
      <w:r w:rsidR="00C40F78">
        <w:rPr>
          <w:rFonts w:ascii="Times New Roman" w:hAnsi="Times New Roman"/>
          <w:sz w:val="24"/>
        </w:rPr>
        <w:t xml:space="preserve">met betrekking tot belediging van </w:t>
      </w:r>
      <w:r w:rsidR="00C04F46">
        <w:rPr>
          <w:rFonts w:ascii="Times New Roman" w:hAnsi="Times New Roman"/>
          <w:sz w:val="24"/>
        </w:rPr>
        <w:t>de Koning, bepaalde leden van zijn Huis en bevriende staatshoofden bijzondere</w:t>
      </w:r>
      <w:r w:rsidR="00C40F78">
        <w:rPr>
          <w:rFonts w:ascii="Times New Roman" w:hAnsi="Times New Roman"/>
          <w:sz w:val="24"/>
        </w:rPr>
        <w:t xml:space="preserve"> bepalingen in het Wetboek van S</w:t>
      </w:r>
      <w:r w:rsidR="00C04F46">
        <w:rPr>
          <w:rFonts w:ascii="Times New Roman" w:hAnsi="Times New Roman"/>
          <w:sz w:val="24"/>
        </w:rPr>
        <w:t xml:space="preserve">trafrecht zouden komen te vervallen, terwijl voor openbare instellingen, volksvertegenwoordigers en bestuurders wel bijzondere bepalingen zouden blijven bestaan. </w:t>
      </w:r>
    </w:p>
    <w:p w:rsidR="0081127D" w:rsidRDefault="00C04F46" w:rsidP="00450C79">
      <w:pPr>
        <w:rPr>
          <w:rFonts w:ascii="Times New Roman" w:hAnsi="Times New Roman"/>
          <w:sz w:val="24"/>
        </w:rPr>
      </w:pPr>
      <w:r>
        <w:rPr>
          <w:rFonts w:ascii="Times New Roman" w:hAnsi="Times New Roman"/>
          <w:sz w:val="24"/>
        </w:rPr>
        <w:t xml:space="preserve">Daarom voorziet het </w:t>
      </w:r>
      <w:r w:rsidR="007C658C">
        <w:rPr>
          <w:rFonts w:ascii="Times New Roman" w:hAnsi="Times New Roman"/>
          <w:sz w:val="24"/>
        </w:rPr>
        <w:t xml:space="preserve">wetsvoorstel in een wijziging van artikel </w:t>
      </w:r>
      <w:r w:rsidR="00FC49C5">
        <w:rPr>
          <w:rFonts w:ascii="Times New Roman" w:hAnsi="Times New Roman"/>
          <w:sz w:val="24"/>
        </w:rPr>
        <w:t xml:space="preserve">267 Sr, waarmee de reikwijdte van dat artikel wordt beperkt. Het betreft nu </w:t>
      </w:r>
      <w:r w:rsidR="00450C79" w:rsidRPr="00450C79">
        <w:rPr>
          <w:rFonts w:ascii="Times New Roman" w:hAnsi="Times New Roman"/>
          <w:sz w:val="24"/>
        </w:rPr>
        <w:t xml:space="preserve">belediging van </w:t>
      </w:r>
      <w:r w:rsidR="0069126C">
        <w:rPr>
          <w:rFonts w:ascii="Times New Roman" w:hAnsi="Times New Roman"/>
          <w:sz w:val="24"/>
        </w:rPr>
        <w:t>(1</w:t>
      </w:r>
      <w:r w:rsidR="00910E23" w:rsidRPr="00273E2B">
        <w:rPr>
          <w:rFonts w:ascii="Times New Roman" w:hAnsi="Times New Roman"/>
          <w:sz w:val="24"/>
          <w:vertAlign w:val="superscript"/>
        </w:rPr>
        <w:t>o</w:t>
      </w:r>
      <w:r w:rsidR="0069126C">
        <w:rPr>
          <w:rFonts w:ascii="Times New Roman" w:hAnsi="Times New Roman"/>
          <w:sz w:val="24"/>
        </w:rPr>
        <w:t xml:space="preserve">) </w:t>
      </w:r>
      <w:r w:rsidR="00450C79" w:rsidRPr="00450C79">
        <w:rPr>
          <w:rFonts w:ascii="Times New Roman" w:hAnsi="Times New Roman"/>
          <w:sz w:val="24"/>
        </w:rPr>
        <w:t>het openbaar gezag, een openbaar lichaam of een openbare instelling</w:t>
      </w:r>
      <w:r w:rsidR="00FC49C5">
        <w:rPr>
          <w:rFonts w:ascii="Times New Roman" w:hAnsi="Times New Roman"/>
          <w:sz w:val="24"/>
        </w:rPr>
        <w:t xml:space="preserve">, </w:t>
      </w:r>
      <w:r w:rsidR="0069126C">
        <w:rPr>
          <w:rFonts w:ascii="Times New Roman" w:hAnsi="Times New Roman"/>
          <w:sz w:val="24"/>
        </w:rPr>
        <w:t>(2</w:t>
      </w:r>
      <w:r w:rsidR="00273E2B" w:rsidRPr="00273E2B">
        <w:rPr>
          <w:rFonts w:ascii="Times New Roman" w:hAnsi="Times New Roman"/>
          <w:sz w:val="24"/>
          <w:vertAlign w:val="superscript"/>
        </w:rPr>
        <w:t>o</w:t>
      </w:r>
      <w:r w:rsidR="0069126C">
        <w:rPr>
          <w:rFonts w:ascii="Times New Roman" w:hAnsi="Times New Roman"/>
          <w:sz w:val="24"/>
        </w:rPr>
        <w:t xml:space="preserve">) </w:t>
      </w:r>
      <w:r w:rsidR="00450C79" w:rsidRPr="00450C79">
        <w:rPr>
          <w:rFonts w:ascii="Times New Roman" w:hAnsi="Times New Roman"/>
          <w:sz w:val="24"/>
        </w:rPr>
        <w:t>een ambtenaar in functie</w:t>
      </w:r>
      <w:r w:rsidR="00FC49C5">
        <w:rPr>
          <w:rFonts w:ascii="Times New Roman" w:hAnsi="Times New Roman"/>
          <w:sz w:val="24"/>
        </w:rPr>
        <w:t xml:space="preserve"> en </w:t>
      </w:r>
      <w:r w:rsidR="0069126C">
        <w:rPr>
          <w:rFonts w:ascii="Times New Roman" w:hAnsi="Times New Roman"/>
          <w:sz w:val="24"/>
        </w:rPr>
        <w:t>(3</w:t>
      </w:r>
      <w:r w:rsidR="00273E2B" w:rsidRPr="00273E2B">
        <w:rPr>
          <w:rFonts w:ascii="Times New Roman" w:hAnsi="Times New Roman"/>
          <w:sz w:val="24"/>
          <w:vertAlign w:val="superscript"/>
        </w:rPr>
        <w:t>o</w:t>
      </w:r>
      <w:r w:rsidR="0069126C">
        <w:rPr>
          <w:rFonts w:ascii="Times New Roman" w:hAnsi="Times New Roman"/>
          <w:sz w:val="24"/>
        </w:rPr>
        <w:t xml:space="preserve">) </w:t>
      </w:r>
      <w:r w:rsidR="00FC49C5" w:rsidRPr="00FC49C5">
        <w:rPr>
          <w:rFonts w:ascii="Times New Roman" w:hAnsi="Times New Roman"/>
          <w:sz w:val="24"/>
        </w:rPr>
        <w:t>het hoofd of een lid van de regering van een bevriende staat.</w:t>
      </w:r>
      <w:r w:rsidR="00FC49C5">
        <w:rPr>
          <w:rFonts w:ascii="Times New Roman" w:hAnsi="Times New Roman"/>
          <w:sz w:val="24"/>
        </w:rPr>
        <w:t xml:space="preserve"> </w:t>
      </w:r>
      <w:r w:rsidR="00450C79" w:rsidRPr="00450C79">
        <w:rPr>
          <w:rFonts w:ascii="Times New Roman" w:hAnsi="Times New Roman"/>
          <w:sz w:val="24"/>
        </w:rPr>
        <w:t xml:space="preserve">Deze </w:t>
      </w:r>
      <w:r w:rsidR="0081127D" w:rsidRPr="00450C79">
        <w:rPr>
          <w:rFonts w:ascii="Times New Roman" w:hAnsi="Times New Roman"/>
          <w:sz w:val="24"/>
        </w:rPr>
        <w:t>typen</w:t>
      </w:r>
      <w:r w:rsidR="0081127D">
        <w:rPr>
          <w:rFonts w:ascii="Times New Roman" w:hAnsi="Times New Roman"/>
          <w:sz w:val="24"/>
        </w:rPr>
        <w:t xml:space="preserve"> van </w:t>
      </w:r>
      <w:r w:rsidR="00450C79" w:rsidRPr="00450C79">
        <w:rPr>
          <w:rFonts w:ascii="Times New Roman" w:hAnsi="Times New Roman"/>
          <w:sz w:val="24"/>
        </w:rPr>
        <w:t xml:space="preserve">belediging leveren een verhoging van </w:t>
      </w:r>
      <w:r w:rsidR="0081127D">
        <w:rPr>
          <w:rFonts w:ascii="Times New Roman" w:hAnsi="Times New Roman"/>
          <w:sz w:val="24"/>
        </w:rPr>
        <w:t>de</w:t>
      </w:r>
      <w:r w:rsidR="00450C79" w:rsidRPr="00450C79">
        <w:rPr>
          <w:rFonts w:ascii="Times New Roman" w:hAnsi="Times New Roman"/>
          <w:sz w:val="24"/>
        </w:rPr>
        <w:t xml:space="preserve"> maxim</w:t>
      </w:r>
      <w:r w:rsidR="0081127D">
        <w:rPr>
          <w:rFonts w:ascii="Times New Roman" w:hAnsi="Times New Roman"/>
          <w:sz w:val="24"/>
        </w:rPr>
        <w:t xml:space="preserve">ale </w:t>
      </w:r>
      <w:r w:rsidR="00450C79" w:rsidRPr="00450C79">
        <w:rPr>
          <w:rFonts w:ascii="Times New Roman" w:hAnsi="Times New Roman"/>
          <w:sz w:val="24"/>
        </w:rPr>
        <w:t>gevangenisstraf met een derde op.</w:t>
      </w:r>
    </w:p>
    <w:p w:rsidR="00FC49C5" w:rsidRDefault="00450C79" w:rsidP="00450C79">
      <w:pPr>
        <w:rPr>
          <w:rFonts w:ascii="Times New Roman" w:hAnsi="Times New Roman"/>
          <w:sz w:val="24"/>
        </w:rPr>
      </w:pPr>
      <w:r w:rsidRPr="00450C79">
        <w:rPr>
          <w:rFonts w:ascii="Times New Roman" w:hAnsi="Times New Roman"/>
          <w:sz w:val="24"/>
        </w:rPr>
        <w:t>Voor de</w:t>
      </w:r>
      <w:r w:rsidR="00FC49C5">
        <w:rPr>
          <w:rFonts w:ascii="Times New Roman" w:hAnsi="Times New Roman"/>
          <w:sz w:val="24"/>
        </w:rPr>
        <w:t xml:space="preserve"> twee eerstgenoemde gevallen </w:t>
      </w:r>
      <w:r w:rsidRPr="00450C79">
        <w:rPr>
          <w:rFonts w:ascii="Times New Roman" w:hAnsi="Times New Roman"/>
          <w:sz w:val="24"/>
        </w:rPr>
        <w:t xml:space="preserve">is </w:t>
      </w:r>
      <w:r w:rsidR="00FC49C5">
        <w:rPr>
          <w:rFonts w:ascii="Times New Roman" w:hAnsi="Times New Roman"/>
          <w:sz w:val="24"/>
        </w:rPr>
        <w:t xml:space="preserve">tevens </w:t>
      </w:r>
      <w:r w:rsidRPr="00450C79">
        <w:rPr>
          <w:rFonts w:ascii="Times New Roman" w:hAnsi="Times New Roman"/>
          <w:sz w:val="24"/>
        </w:rPr>
        <w:t xml:space="preserve">geregeld dat </w:t>
      </w:r>
      <w:r w:rsidR="00FC49C5">
        <w:rPr>
          <w:rFonts w:ascii="Times New Roman" w:hAnsi="Times New Roman"/>
          <w:sz w:val="24"/>
        </w:rPr>
        <w:t xml:space="preserve">het vereiste van een </w:t>
      </w:r>
      <w:r w:rsidR="00FC49C5" w:rsidRPr="00FC49C5">
        <w:rPr>
          <w:rFonts w:ascii="Times New Roman" w:hAnsi="Times New Roman"/>
          <w:sz w:val="24"/>
        </w:rPr>
        <w:t xml:space="preserve">klacht van </w:t>
      </w:r>
      <w:r w:rsidR="00FC49C5">
        <w:rPr>
          <w:rFonts w:ascii="Times New Roman" w:hAnsi="Times New Roman"/>
          <w:sz w:val="24"/>
        </w:rPr>
        <w:t xml:space="preserve">degene </w:t>
      </w:r>
      <w:r w:rsidR="00FC49C5" w:rsidRPr="00FC49C5">
        <w:rPr>
          <w:rFonts w:ascii="Times New Roman" w:hAnsi="Times New Roman"/>
          <w:sz w:val="24"/>
        </w:rPr>
        <w:t>tegen wie het misdrijf is gepleegd</w:t>
      </w:r>
      <w:r w:rsidR="00FC49C5">
        <w:rPr>
          <w:rFonts w:ascii="Times New Roman" w:hAnsi="Times New Roman"/>
          <w:sz w:val="24"/>
        </w:rPr>
        <w:t xml:space="preserve">, alvorens tot </w:t>
      </w:r>
      <w:r w:rsidRPr="00450C79">
        <w:rPr>
          <w:rFonts w:ascii="Times New Roman" w:hAnsi="Times New Roman"/>
          <w:sz w:val="24"/>
        </w:rPr>
        <w:t xml:space="preserve">vervolging </w:t>
      </w:r>
      <w:r w:rsidR="00FC49C5">
        <w:rPr>
          <w:rFonts w:ascii="Times New Roman" w:hAnsi="Times New Roman"/>
          <w:sz w:val="24"/>
        </w:rPr>
        <w:t xml:space="preserve">kan worden </w:t>
      </w:r>
      <w:r w:rsidRPr="00450C79">
        <w:rPr>
          <w:rFonts w:ascii="Times New Roman" w:hAnsi="Times New Roman"/>
          <w:sz w:val="24"/>
        </w:rPr>
        <w:t>overgegaan</w:t>
      </w:r>
      <w:r w:rsidR="00FC49C5">
        <w:rPr>
          <w:rFonts w:ascii="Times New Roman" w:hAnsi="Times New Roman"/>
          <w:sz w:val="24"/>
        </w:rPr>
        <w:t>, komt te vervallen</w:t>
      </w:r>
      <w:r w:rsidRPr="00450C79">
        <w:rPr>
          <w:rFonts w:ascii="Times New Roman" w:hAnsi="Times New Roman"/>
          <w:sz w:val="24"/>
        </w:rPr>
        <w:t>.</w:t>
      </w:r>
      <w:r w:rsidRPr="00450C79">
        <w:rPr>
          <w:rFonts w:ascii="Times New Roman" w:hAnsi="Times New Roman"/>
          <w:sz w:val="24"/>
          <w:vertAlign w:val="superscript"/>
        </w:rPr>
        <w:footnoteReference w:id="29"/>
      </w:r>
    </w:p>
    <w:p w:rsidR="00AC78B0" w:rsidRDefault="00AC78B0" w:rsidP="00450C79">
      <w:pPr>
        <w:rPr>
          <w:rFonts w:ascii="Times New Roman" w:hAnsi="Times New Roman"/>
          <w:sz w:val="24"/>
        </w:rPr>
      </w:pPr>
    </w:p>
    <w:p w:rsidR="00C40F78" w:rsidRDefault="00C04F46" w:rsidP="00C40F78">
      <w:pPr>
        <w:rPr>
          <w:rFonts w:ascii="Times New Roman" w:hAnsi="Times New Roman"/>
          <w:sz w:val="24"/>
        </w:rPr>
      </w:pPr>
      <w:r>
        <w:rPr>
          <w:rFonts w:ascii="Times New Roman" w:hAnsi="Times New Roman"/>
          <w:sz w:val="24"/>
        </w:rPr>
        <w:t xml:space="preserve">Het wetsvoorstel handhaaft alleen </w:t>
      </w:r>
      <w:r w:rsidR="00C40F78">
        <w:rPr>
          <w:rFonts w:ascii="Times New Roman" w:hAnsi="Times New Roman"/>
          <w:sz w:val="24"/>
        </w:rPr>
        <w:t>de strafverzwaring en het vervallen van het klachtvereiste in geval van belediging van een ambtenaar in functie. Het “hoge bomen vangen veel wind”-argument gaat bij hen niet op.</w:t>
      </w:r>
      <w:r w:rsidR="00C40F78">
        <w:rPr>
          <w:rStyle w:val="Voetnootmarkering"/>
          <w:rFonts w:ascii="Times New Roman" w:hAnsi="Times New Roman"/>
          <w:sz w:val="24"/>
        </w:rPr>
        <w:footnoteReference w:id="30"/>
      </w:r>
      <w:r w:rsidR="00C40F78">
        <w:rPr>
          <w:rFonts w:ascii="Times New Roman" w:hAnsi="Times New Roman"/>
          <w:sz w:val="24"/>
        </w:rPr>
        <w:t xml:space="preserve"> Dat ligt anders bij leden van vertegenwoordigende lichamen</w:t>
      </w:r>
      <w:r w:rsidR="00D23954">
        <w:rPr>
          <w:rFonts w:ascii="Times New Roman" w:hAnsi="Times New Roman"/>
          <w:sz w:val="24"/>
        </w:rPr>
        <w:t xml:space="preserve">, </w:t>
      </w:r>
      <w:r w:rsidR="00C40F78">
        <w:rPr>
          <w:rFonts w:ascii="Times New Roman" w:hAnsi="Times New Roman"/>
          <w:sz w:val="24"/>
        </w:rPr>
        <w:t xml:space="preserve"> bestuurders</w:t>
      </w:r>
      <w:r w:rsidR="00D23954">
        <w:rPr>
          <w:rFonts w:ascii="Times New Roman" w:hAnsi="Times New Roman"/>
          <w:sz w:val="24"/>
        </w:rPr>
        <w:t xml:space="preserve"> en rechters</w:t>
      </w:r>
      <w:r w:rsidR="00C40F78">
        <w:rPr>
          <w:rFonts w:ascii="Times New Roman" w:hAnsi="Times New Roman"/>
          <w:sz w:val="24"/>
        </w:rPr>
        <w:t xml:space="preserve">. </w:t>
      </w:r>
    </w:p>
    <w:p w:rsidR="00C40F78" w:rsidRDefault="00C40F78" w:rsidP="00C40F78">
      <w:pPr>
        <w:rPr>
          <w:rFonts w:ascii="Times New Roman" w:hAnsi="Times New Roman"/>
          <w:sz w:val="24"/>
        </w:rPr>
      </w:pPr>
      <w:r>
        <w:rPr>
          <w:rFonts w:ascii="Times New Roman" w:hAnsi="Times New Roman"/>
          <w:sz w:val="24"/>
        </w:rPr>
        <w:t>Volksvertegenwoordigers zijn nu ingevolge artikel 84 Sr gelijkgesteld aan</w:t>
      </w:r>
      <w:r w:rsidR="001D2407">
        <w:rPr>
          <w:rFonts w:ascii="Times New Roman" w:hAnsi="Times New Roman"/>
          <w:sz w:val="24"/>
        </w:rPr>
        <w:t xml:space="preserve"> ambtenaren. De initiatiefnemer acht</w:t>
      </w:r>
      <w:r>
        <w:rPr>
          <w:rFonts w:ascii="Times New Roman" w:hAnsi="Times New Roman"/>
          <w:sz w:val="24"/>
        </w:rPr>
        <w:t xml:space="preserve"> dat in dit verband ongewenst. Zij moeten in een democratische samenleving tegen een stootje kunnen. En als zij willen dat strafrechtelijk wordt opgetreden tegen een geval van belediging, mag van hen gevergd worden dat zij een klacht indienen.</w:t>
      </w:r>
    </w:p>
    <w:p w:rsidR="00C04F46" w:rsidRDefault="00C40F78" w:rsidP="00450C79">
      <w:pPr>
        <w:rPr>
          <w:rFonts w:ascii="Times New Roman" w:hAnsi="Times New Roman"/>
          <w:sz w:val="24"/>
        </w:rPr>
      </w:pPr>
      <w:r>
        <w:rPr>
          <w:rFonts w:ascii="Times New Roman" w:hAnsi="Times New Roman"/>
          <w:sz w:val="24"/>
        </w:rPr>
        <w:t>Hetzelfde geldt voor bestuurders</w:t>
      </w:r>
      <w:r w:rsidR="00D23954">
        <w:rPr>
          <w:rFonts w:ascii="Times New Roman" w:hAnsi="Times New Roman"/>
          <w:sz w:val="24"/>
        </w:rPr>
        <w:t xml:space="preserve"> en rechters</w:t>
      </w:r>
      <w:r>
        <w:rPr>
          <w:rFonts w:ascii="Times New Roman" w:hAnsi="Times New Roman"/>
          <w:sz w:val="24"/>
        </w:rPr>
        <w:t xml:space="preserve">. Zij worden in het strafrecht tot de ‘ambtenaren’ gerekend, </w:t>
      </w:r>
      <w:r w:rsidR="006C7052">
        <w:rPr>
          <w:rFonts w:ascii="Times New Roman" w:hAnsi="Times New Roman"/>
          <w:sz w:val="24"/>
        </w:rPr>
        <w:t>omd</w:t>
      </w:r>
      <w:r>
        <w:rPr>
          <w:rFonts w:ascii="Times New Roman" w:hAnsi="Times New Roman"/>
          <w:sz w:val="24"/>
        </w:rPr>
        <w:t>at de Ambtenarenwet d</w:t>
      </w:r>
      <w:r w:rsidR="001D2407">
        <w:rPr>
          <w:rFonts w:ascii="Times New Roman" w:hAnsi="Times New Roman"/>
          <w:sz w:val="24"/>
        </w:rPr>
        <w:t>at ook doet. De initiatiefnemer</w:t>
      </w:r>
      <w:r>
        <w:rPr>
          <w:rFonts w:ascii="Times New Roman" w:hAnsi="Times New Roman"/>
          <w:sz w:val="24"/>
        </w:rPr>
        <w:t xml:space="preserve"> </w:t>
      </w:r>
      <w:r w:rsidR="001D2407">
        <w:rPr>
          <w:rFonts w:ascii="Times New Roman" w:hAnsi="Times New Roman"/>
          <w:sz w:val="24"/>
        </w:rPr>
        <w:t>is</w:t>
      </w:r>
      <w:r>
        <w:rPr>
          <w:rFonts w:ascii="Times New Roman" w:hAnsi="Times New Roman"/>
          <w:sz w:val="24"/>
        </w:rPr>
        <w:t xml:space="preserve"> echter van mening dat een bijzondere bescherming tegen belediging alleen toekomt aan </w:t>
      </w:r>
      <w:r w:rsidR="00D23954">
        <w:rPr>
          <w:rFonts w:ascii="Times New Roman" w:hAnsi="Times New Roman"/>
          <w:sz w:val="24"/>
        </w:rPr>
        <w:t>hen die in het spraakgebruik met</w:t>
      </w:r>
      <w:r w:rsidR="006C7052">
        <w:rPr>
          <w:rFonts w:ascii="Times New Roman" w:hAnsi="Times New Roman"/>
          <w:sz w:val="24"/>
        </w:rPr>
        <w:t xml:space="preserve"> </w:t>
      </w:r>
      <w:r w:rsidR="00D23954">
        <w:rPr>
          <w:rFonts w:ascii="Times New Roman" w:hAnsi="Times New Roman"/>
          <w:sz w:val="24"/>
        </w:rPr>
        <w:t>“</w:t>
      </w:r>
      <w:r w:rsidR="006C7052">
        <w:rPr>
          <w:rFonts w:ascii="Times New Roman" w:hAnsi="Times New Roman"/>
          <w:sz w:val="24"/>
        </w:rPr>
        <w:t>ambtenaren”</w:t>
      </w:r>
      <w:r w:rsidR="00D23954">
        <w:rPr>
          <w:rFonts w:ascii="Times New Roman" w:hAnsi="Times New Roman"/>
          <w:sz w:val="24"/>
        </w:rPr>
        <w:t xml:space="preserve"> plegen te worden aangeduid</w:t>
      </w:r>
      <w:r w:rsidR="006C7052">
        <w:rPr>
          <w:rFonts w:ascii="Times New Roman" w:hAnsi="Times New Roman"/>
          <w:sz w:val="24"/>
        </w:rPr>
        <w:t xml:space="preserve">. </w:t>
      </w:r>
      <w:r w:rsidR="00B167D4">
        <w:rPr>
          <w:rFonts w:ascii="Times New Roman" w:hAnsi="Times New Roman"/>
          <w:sz w:val="24"/>
        </w:rPr>
        <w:t xml:space="preserve">Dat betekent dat de in artikel 2, eerste lid, van de </w:t>
      </w:r>
      <w:r>
        <w:rPr>
          <w:rFonts w:ascii="Times New Roman" w:hAnsi="Times New Roman"/>
          <w:sz w:val="24"/>
        </w:rPr>
        <w:t xml:space="preserve">Ambtenarenwet </w:t>
      </w:r>
      <w:r w:rsidR="00B167D4">
        <w:rPr>
          <w:rFonts w:ascii="Times New Roman" w:hAnsi="Times New Roman"/>
          <w:sz w:val="24"/>
        </w:rPr>
        <w:t>opgesomde “ambtenaren” van de extra bescherming die artikel 267 Sr biedt, moeten worden uitgesloten</w:t>
      </w:r>
      <w:r w:rsidR="00D23954">
        <w:rPr>
          <w:rFonts w:ascii="Times New Roman" w:hAnsi="Times New Roman"/>
          <w:sz w:val="24"/>
        </w:rPr>
        <w:t>, met uitzondering van de militaire ambtenaren, die wel degelijk als ambtenaren plegen te worden beschouwd</w:t>
      </w:r>
      <w:r w:rsidR="00B167D4">
        <w:rPr>
          <w:rFonts w:ascii="Times New Roman" w:hAnsi="Times New Roman"/>
          <w:sz w:val="24"/>
        </w:rPr>
        <w:t>.</w:t>
      </w:r>
      <w:r>
        <w:rPr>
          <w:rFonts w:ascii="Times New Roman" w:hAnsi="Times New Roman"/>
          <w:sz w:val="24"/>
        </w:rPr>
        <w:t xml:space="preserve"> </w:t>
      </w:r>
    </w:p>
    <w:p w:rsidR="00C40F78" w:rsidRDefault="00C40F78" w:rsidP="00450C79">
      <w:pPr>
        <w:rPr>
          <w:rFonts w:ascii="Times New Roman" w:hAnsi="Times New Roman"/>
          <w:sz w:val="24"/>
        </w:rPr>
      </w:pPr>
    </w:p>
    <w:p w:rsidR="0069126C" w:rsidRDefault="005743C6" w:rsidP="00C1031E">
      <w:pPr>
        <w:rPr>
          <w:rFonts w:ascii="Times New Roman" w:hAnsi="Times New Roman"/>
          <w:sz w:val="24"/>
        </w:rPr>
      </w:pPr>
      <w:r>
        <w:rPr>
          <w:rFonts w:ascii="Times New Roman" w:hAnsi="Times New Roman"/>
          <w:sz w:val="24"/>
        </w:rPr>
        <w:t>De initiatiefnemer</w:t>
      </w:r>
      <w:r w:rsidR="00DA2884">
        <w:rPr>
          <w:rFonts w:ascii="Times New Roman" w:hAnsi="Times New Roman"/>
          <w:sz w:val="24"/>
        </w:rPr>
        <w:t xml:space="preserve"> acht </w:t>
      </w:r>
      <w:r w:rsidR="00C40F78">
        <w:rPr>
          <w:rFonts w:ascii="Times New Roman" w:hAnsi="Times New Roman"/>
          <w:sz w:val="24"/>
        </w:rPr>
        <w:t>ook de bijzondere bepaling</w:t>
      </w:r>
      <w:r w:rsidR="006C7052">
        <w:rPr>
          <w:rFonts w:ascii="Times New Roman" w:hAnsi="Times New Roman"/>
          <w:sz w:val="24"/>
        </w:rPr>
        <w:t xml:space="preserve"> </w:t>
      </w:r>
      <w:r w:rsidR="00AC78B0">
        <w:rPr>
          <w:rFonts w:ascii="Times New Roman" w:hAnsi="Times New Roman"/>
          <w:sz w:val="24"/>
        </w:rPr>
        <w:t>met betrekking tot b</w:t>
      </w:r>
      <w:r w:rsidR="00FC49C5">
        <w:rPr>
          <w:rFonts w:ascii="Times New Roman" w:hAnsi="Times New Roman"/>
          <w:sz w:val="24"/>
        </w:rPr>
        <w:t xml:space="preserve">elediging van </w:t>
      </w:r>
      <w:r w:rsidR="00FC49C5" w:rsidRPr="00FC49C5">
        <w:rPr>
          <w:rFonts w:ascii="Times New Roman" w:hAnsi="Times New Roman"/>
          <w:sz w:val="24"/>
        </w:rPr>
        <w:t>het openbaar gezag, een openbaar lichaam of een openbare instelling</w:t>
      </w:r>
      <w:r w:rsidR="00CD057E">
        <w:rPr>
          <w:rFonts w:ascii="Times New Roman" w:hAnsi="Times New Roman"/>
          <w:sz w:val="24"/>
        </w:rPr>
        <w:t>,</w:t>
      </w:r>
      <w:r w:rsidR="00FC49C5" w:rsidRPr="00FC49C5">
        <w:rPr>
          <w:rFonts w:ascii="Times New Roman" w:hAnsi="Times New Roman"/>
          <w:sz w:val="24"/>
        </w:rPr>
        <w:t xml:space="preserve"> </w:t>
      </w:r>
      <w:r w:rsidR="00FC49C5">
        <w:rPr>
          <w:rFonts w:ascii="Times New Roman" w:hAnsi="Times New Roman"/>
          <w:sz w:val="24"/>
        </w:rPr>
        <w:t>niet langer nodig</w:t>
      </w:r>
      <w:r w:rsidR="00AC78B0">
        <w:rPr>
          <w:rFonts w:ascii="Times New Roman" w:hAnsi="Times New Roman"/>
          <w:sz w:val="24"/>
        </w:rPr>
        <w:t xml:space="preserve"> en bovendien onge</w:t>
      </w:r>
      <w:r w:rsidR="007E6C4B">
        <w:rPr>
          <w:rFonts w:ascii="Times New Roman" w:hAnsi="Times New Roman"/>
          <w:sz w:val="24"/>
        </w:rPr>
        <w:t xml:space="preserve">wenst. </w:t>
      </w:r>
      <w:r w:rsidR="0069126C" w:rsidRPr="0069126C">
        <w:rPr>
          <w:rFonts w:ascii="Times New Roman" w:hAnsi="Times New Roman"/>
          <w:sz w:val="24"/>
        </w:rPr>
        <w:t xml:space="preserve">De gedachte van de regering </w:t>
      </w:r>
      <w:r w:rsidR="0069126C">
        <w:rPr>
          <w:rFonts w:ascii="Times New Roman" w:hAnsi="Times New Roman"/>
          <w:sz w:val="24"/>
        </w:rPr>
        <w:t xml:space="preserve">in </w:t>
      </w:r>
      <w:r w:rsidR="0069126C" w:rsidRPr="0069126C">
        <w:rPr>
          <w:rFonts w:ascii="Times New Roman" w:hAnsi="Times New Roman"/>
          <w:sz w:val="24"/>
        </w:rPr>
        <w:t>1976</w:t>
      </w:r>
      <w:r w:rsidR="0069126C">
        <w:rPr>
          <w:rFonts w:ascii="Times New Roman" w:hAnsi="Times New Roman"/>
          <w:sz w:val="24"/>
        </w:rPr>
        <w:t>,</w:t>
      </w:r>
      <w:r w:rsidR="0069126C" w:rsidRPr="0069126C">
        <w:rPr>
          <w:rFonts w:ascii="Times New Roman" w:hAnsi="Times New Roman"/>
          <w:sz w:val="24"/>
        </w:rPr>
        <w:t xml:space="preserve"> dat </w:t>
      </w:r>
      <w:r w:rsidR="0069126C" w:rsidRPr="0069126C">
        <w:rPr>
          <w:rFonts w:ascii="Times New Roman" w:hAnsi="Times New Roman"/>
          <w:i/>
          <w:sz w:val="24"/>
        </w:rPr>
        <w:t>“het algemeen belang ermee gediend is dat bepaalde staatsorganen of ambtenaren worden gezuiverd van enige op hen geworpen blaam, omdat het bestuursapparaat anders in diskrediet dreigt te komen”</w:t>
      </w:r>
      <w:r w:rsidR="0069126C" w:rsidRPr="0069126C">
        <w:rPr>
          <w:rStyle w:val="Voetnootmarkering"/>
          <w:rFonts w:ascii="Times New Roman" w:hAnsi="Times New Roman"/>
          <w:sz w:val="24"/>
        </w:rPr>
        <w:t xml:space="preserve"> </w:t>
      </w:r>
      <w:r w:rsidR="0069126C">
        <w:rPr>
          <w:rStyle w:val="Voetnootmarkering"/>
          <w:rFonts w:ascii="Times New Roman" w:hAnsi="Times New Roman"/>
          <w:sz w:val="24"/>
        </w:rPr>
        <w:footnoteReference w:id="31"/>
      </w:r>
      <w:r w:rsidR="0069126C" w:rsidRPr="0069126C">
        <w:rPr>
          <w:rFonts w:ascii="Times New Roman" w:hAnsi="Times New Roman"/>
          <w:sz w:val="24"/>
        </w:rPr>
        <w:t xml:space="preserve"> past </w:t>
      </w:r>
      <w:r w:rsidR="0069126C">
        <w:rPr>
          <w:rFonts w:ascii="Times New Roman" w:hAnsi="Times New Roman"/>
          <w:sz w:val="24"/>
        </w:rPr>
        <w:t xml:space="preserve">als </w:t>
      </w:r>
      <w:r w:rsidR="00273E2B">
        <w:rPr>
          <w:rFonts w:ascii="Times New Roman" w:hAnsi="Times New Roman"/>
          <w:sz w:val="24"/>
        </w:rPr>
        <w:t xml:space="preserve">motivering </w:t>
      </w:r>
      <w:r w:rsidR="0069126C">
        <w:rPr>
          <w:rFonts w:ascii="Times New Roman" w:hAnsi="Times New Roman"/>
          <w:sz w:val="24"/>
        </w:rPr>
        <w:t xml:space="preserve">voor een hogere strafmaat </w:t>
      </w:r>
      <w:r w:rsidR="0069126C" w:rsidRPr="0069126C">
        <w:rPr>
          <w:rFonts w:ascii="Times New Roman" w:hAnsi="Times New Roman"/>
          <w:sz w:val="24"/>
        </w:rPr>
        <w:t>naar het</w:t>
      </w:r>
      <w:r>
        <w:rPr>
          <w:rFonts w:ascii="Times New Roman" w:hAnsi="Times New Roman"/>
          <w:sz w:val="24"/>
        </w:rPr>
        <w:t xml:space="preserve"> oordeel van de initiatiefnemer</w:t>
      </w:r>
      <w:r w:rsidR="0069126C" w:rsidRPr="0069126C">
        <w:rPr>
          <w:rFonts w:ascii="Times New Roman" w:hAnsi="Times New Roman"/>
          <w:sz w:val="24"/>
        </w:rPr>
        <w:t xml:space="preserve"> niet meer bij de in paragraaf 2.2 geschetste rechtsontwikkeling. Handhaving van het eerste onderdeel van </w:t>
      </w:r>
      <w:r w:rsidR="0069126C" w:rsidRPr="0069126C">
        <w:rPr>
          <w:rFonts w:ascii="Times New Roman" w:hAnsi="Times New Roman"/>
          <w:sz w:val="24"/>
        </w:rPr>
        <w:lastRenderedPageBreak/>
        <w:t>artikel 267 is ook niet nodig, nu artikel 266 Sr ook voor overheidsrechtspersonen gehandhaafd blijft</w:t>
      </w:r>
      <w:r w:rsidR="0069126C">
        <w:rPr>
          <w:rFonts w:ascii="Times New Roman" w:hAnsi="Times New Roman"/>
          <w:sz w:val="24"/>
        </w:rPr>
        <w:t xml:space="preserve"> en </w:t>
      </w:r>
      <w:r w:rsidR="0069126C" w:rsidRPr="0069126C">
        <w:rPr>
          <w:rFonts w:ascii="Times New Roman" w:hAnsi="Times New Roman"/>
          <w:sz w:val="24"/>
        </w:rPr>
        <w:t>het moeten indienen van een klacht voor de instituties waarom het h</w:t>
      </w:r>
      <w:r w:rsidR="0069126C">
        <w:rPr>
          <w:rFonts w:ascii="Times New Roman" w:hAnsi="Times New Roman"/>
          <w:sz w:val="24"/>
        </w:rPr>
        <w:t>ier gaat allerminst bezwaarlijk is.</w:t>
      </w:r>
    </w:p>
    <w:p w:rsidR="00C1031E" w:rsidRDefault="007E6C4B" w:rsidP="00C1031E">
      <w:pPr>
        <w:rPr>
          <w:rFonts w:ascii="Times New Roman" w:hAnsi="Times New Roman"/>
          <w:sz w:val="24"/>
        </w:rPr>
      </w:pPr>
      <w:r>
        <w:rPr>
          <w:rFonts w:ascii="Times New Roman" w:hAnsi="Times New Roman"/>
          <w:sz w:val="24"/>
        </w:rPr>
        <w:t xml:space="preserve">Het handhaven van dit onderdeel van art. 267 Sr zou tot gevolg hebben, dat voor de hier bedoelde instituties een verhoging van de strafmaat en het vervallen van het klachtvereiste in stand blijft. Daaraan zijn vanuit een oogpunt van vrije meningsuiting ernstige bezwaren verbonden. Zij kunnen op de uitoefening daarvan een </w:t>
      </w:r>
      <w:r w:rsidRPr="007E6C4B">
        <w:rPr>
          <w:rFonts w:ascii="Times New Roman" w:hAnsi="Times New Roman"/>
          <w:i/>
          <w:sz w:val="24"/>
        </w:rPr>
        <w:t>“chilling effect”</w:t>
      </w:r>
      <w:r w:rsidR="00EA7909">
        <w:rPr>
          <w:rFonts w:ascii="Times New Roman" w:hAnsi="Times New Roman"/>
          <w:sz w:val="24"/>
        </w:rPr>
        <w:t xml:space="preserve"> hebben, </w:t>
      </w:r>
      <w:r>
        <w:rPr>
          <w:rFonts w:ascii="Times New Roman" w:hAnsi="Times New Roman"/>
          <w:sz w:val="24"/>
        </w:rPr>
        <w:t xml:space="preserve">waar het gaat om het kritisch </w:t>
      </w:r>
      <w:r w:rsidR="00C1031E">
        <w:rPr>
          <w:rFonts w:ascii="Times New Roman" w:hAnsi="Times New Roman"/>
          <w:sz w:val="24"/>
        </w:rPr>
        <w:t xml:space="preserve">kunnen </w:t>
      </w:r>
      <w:r>
        <w:rPr>
          <w:rFonts w:ascii="Times New Roman" w:hAnsi="Times New Roman"/>
          <w:sz w:val="24"/>
        </w:rPr>
        <w:t>bejegen</w:t>
      </w:r>
      <w:r w:rsidR="00C1031E">
        <w:rPr>
          <w:rFonts w:ascii="Times New Roman" w:hAnsi="Times New Roman"/>
          <w:sz w:val="24"/>
        </w:rPr>
        <w:t>en</w:t>
      </w:r>
      <w:r>
        <w:rPr>
          <w:rFonts w:ascii="Times New Roman" w:hAnsi="Times New Roman"/>
          <w:sz w:val="24"/>
        </w:rPr>
        <w:t xml:space="preserve"> </w:t>
      </w:r>
      <w:r w:rsidR="005D69ED">
        <w:rPr>
          <w:rFonts w:ascii="Times New Roman" w:hAnsi="Times New Roman"/>
          <w:sz w:val="24"/>
        </w:rPr>
        <w:t xml:space="preserve">van het functioneren van deze instituties; </w:t>
      </w:r>
      <w:r w:rsidR="00C1031E">
        <w:rPr>
          <w:rFonts w:ascii="Times New Roman" w:hAnsi="Times New Roman"/>
          <w:sz w:val="24"/>
        </w:rPr>
        <w:t>ook op een gepassioneerde wijze</w:t>
      </w:r>
      <w:r w:rsidR="005D69ED">
        <w:rPr>
          <w:rFonts w:ascii="Times New Roman" w:hAnsi="Times New Roman"/>
          <w:sz w:val="24"/>
        </w:rPr>
        <w:t xml:space="preserve">, </w:t>
      </w:r>
      <w:r w:rsidR="00273E2B">
        <w:rPr>
          <w:rFonts w:ascii="Times New Roman" w:hAnsi="Times New Roman"/>
          <w:sz w:val="24"/>
        </w:rPr>
        <w:t xml:space="preserve">of </w:t>
      </w:r>
      <w:r w:rsidR="005D69ED">
        <w:rPr>
          <w:rFonts w:ascii="Times New Roman" w:hAnsi="Times New Roman"/>
          <w:sz w:val="24"/>
        </w:rPr>
        <w:t xml:space="preserve">door een “klokkenluider”. Hetzelfde geldt voor het </w:t>
      </w:r>
      <w:r>
        <w:rPr>
          <w:rFonts w:ascii="Times New Roman" w:hAnsi="Times New Roman"/>
          <w:sz w:val="24"/>
        </w:rPr>
        <w:t>k</w:t>
      </w:r>
      <w:r w:rsidR="00C1031E">
        <w:rPr>
          <w:rFonts w:ascii="Times New Roman" w:hAnsi="Times New Roman"/>
          <w:sz w:val="24"/>
        </w:rPr>
        <w:t xml:space="preserve">unnen </w:t>
      </w:r>
      <w:r>
        <w:rPr>
          <w:rFonts w:ascii="Times New Roman" w:hAnsi="Times New Roman"/>
          <w:sz w:val="24"/>
        </w:rPr>
        <w:t>pleit</w:t>
      </w:r>
      <w:r w:rsidR="00C1031E">
        <w:rPr>
          <w:rFonts w:ascii="Times New Roman" w:hAnsi="Times New Roman"/>
          <w:sz w:val="24"/>
        </w:rPr>
        <w:t>en</w:t>
      </w:r>
      <w:r>
        <w:rPr>
          <w:rFonts w:ascii="Times New Roman" w:hAnsi="Times New Roman"/>
          <w:sz w:val="24"/>
        </w:rPr>
        <w:t xml:space="preserve"> voor een andere staatsinrichting, waarin voor een bepaalde institutie geen plaats meer is. </w:t>
      </w:r>
      <w:r w:rsidR="00C1031E">
        <w:rPr>
          <w:rFonts w:ascii="Times New Roman" w:hAnsi="Times New Roman"/>
          <w:sz w:val="24"/>
        </w:rPr>
        <w:t xml:space="preserve">Ruime mogelijkheden daarvoor zijn in een democratische samenleving onontbeerlijk. </w:t>
      </w:r>
    </w:p>
    <w:p w:rsidR="0069126C" w:rsidRDefault="00C1031E" w:rsidP="00653C36">
      <w:pPr>
        <w:rPr>
          <w:rFonts w:ascii="Times New Roman" w:hAnsi="Times New Roman"/>
          <w:sz w:val="24"/>
        </w:rPr>
      </w:pPr>
      <w:r>
        <w:rPr>
          <w:rFonts w:ascii="Times New Roman" w:hAnsi="Times New Roman"/>
          <w:sz w:val="24"/>
        </w:rPr>
        <w:t xml:space="preserve">Weliswaar bevat artikel 266 Sr een rechtvaardigingsgrond voor het behartigen van openbare belangen, maar dat neemt niet weg dat van verhoging van de strafmaat en het vervallen van het klachtvereiste een </w:t>
      </w:r>
      <w:r w:rsidRPr="00C1031E">
        <w:rPr>
          <w:rFonts w:ascii="Times New Roman" w:hAnsi="Times New Roman"/>
          <w:i/>
          <w:sz w:val="24"/>
        </w:rPr>
        <w:t>“chilling effect”</w:t>
      </w:r>
      <w:r>
        <w:rPr>
          <w:rFonts w:ascii="Times New Roman" w:hAnsi="Times New Roman"/>
          <w:sz w:val="24"/>
        </w:rPr>
        <w:t xml:space="preserve"> als hiervoor bedoeld uit blijft gaan. </w:t>
      </w:r>
    </w:p>
    <w:p w:rsidR="00910E23" w:rsidRDefault="00910E23" w:rsidP="00653C36">
      <w:pPr>
        <w:rPr>
          <w:rFonts w:ascii="Times New Roman" w:hAnsi="Times New Roman"/>
          <w:sz w:val="24"/>
        </w:rPr>
      </w:pPr>
    </w:p>
    <w:p w:rsidR="00653C36" w:rsidRDefault="006C7052" w:rsidP="00653C36">
      <w:pPr>
        <w:rPr>
          <w:rFonts w:ascii="Times New Roman" w:hAnsi="Times New Roman"/>
          <w:sz w:val="24"/>
        </w:rPr>
      </w:pPr>
      <w:r>
        <w:rPr>
          <w:rFonts w:ascii="Times New Roman" w:hAnsi="Times New Roman"/>
          <w:sz w:val="24"/>
        </w:rPr>
        <w:t>W</w:t>
      </w:r>
      <w:r w:rsidR="00DA2884">
        <w:rPr>
          <w:rFonts w:ascii="Times New Roman" w:hAnsi="Times New Roman"/>
          <w:sz w:val="24"/>
        </w:rPr>
        <w:t xml:space="preserve">ijziging van artikel 267 Sr is bovendien nodig om te </w:t>
      </w:r>
      <w:r w:rsidR="00C1031E">
        <w:rPr>
          <w:rFonts w:ascii="Times New Roman" w:hAnsi="Times New Roman"/>
          <w:sz w:val="24"/>
        </w:rPr>
        <w:t xml:space="preserve">voorkomen dat de bijzondere strafbaarstelling van majesteitsschennis, die nu gericht is </w:t>
      </w:r>
      <w:r w:rsidR="00C1031E" w:rsidRPr="00653C36">
        <w:rPr>
          <w:rFonts w:ascii="Times New Roman" w:hAnsi="Times New Roman"/>
          <w:sz w:val="24"/>
        </w:rPr>
        <w:t>op de persoon in functie</w:t>
      </w:r>
      <w:r w:rsidR="00C1031E">
        <w:rPr>
          <w:rFonts w:ascii="Times New Roman" w:hAnsi="Times New Roman"/>
          <w:sz w:val="24"/>
        </w:rPr>
        <w:t xml:space="preserve"> </w:t>
      </w:r>
      <w:r w:rsidR="00C1031E" w:rsidRPr="00653C36">
        <w:rPr>
          <w:rFonts w:ascii="Times New Roman" w:hAnsi="Times New Roman"/>
          <w:sz w:val="24"/>
          <w:vertAlign w:val="superscript"/>
        </w:rPr>
        <w:footnoteReference w:id="32"/>
      </w:r>
      <w:r w:rsidR="00C1031E" w:rsidRPr="00653C36">
        <w:rPr>
          <w:rFonts w:ascii="Times New Roman" w:hAnsi="Times New Roman"/>
          <w:sz w:val="24"/>
        </w:rPr>
        <w:t xml:space="preserve">, </w:t>
      </w:r>
      <w:r w:rsidR="00C1031E">
        <w:rPr>
          <w:rFonts w:ascii="Times New Roman" w:hAnsi="Times New Roman"/>
          <w:sz w:val="24"/>
        </w:rPr>
        <w:t xml:space="preserve">als het ware herleeft in de vorm van een bijzondere strafbaarstelling van </w:t>
      </w:r>
      <w:r w:rsidR="00910E23">
        <w:rPr>
          <w:rFonts w:ascii="Times New Roman" w:hAnsi="Times New Roman"/>
          <w:sz w:val="24"/>
        </w:rPr>
        <w:t xml:space="preserve">belediging van </w:t>
      </w:r>
      <w:r w:rsidR="00C1031E">
        <w:rPr>
          <w:rFonts w:ascii="Times New Roman" w:hAnsi="Times New Roman"/>
          <w:sz w:val="24"/>
        </w:rPr>
        <w:t>de Koning als instituut.</w:t>
      </w:r>
      <w:r w:rsidR="00C1031E" w:rsidRPr="00653C36">
        <w:rPr>
          <w:rFonts w:ascii="Times New Roman" w:hAnsi="Times New Roman"/>
          <w:sz w:val="24"/>
        </w:rPr>
        <w:t xml:space="preserve"> </w:t>
      </w:r>
      <w:r w:rsidR="00601A5A">
        <w:rPr>
          <w:rFonts w:ascii="Times New Roman" w:hAnsi="Times New Roman"/>
          <w:sz w:val="24"/>
        </w:rPr>
        <w:t>Het onderscheid daartussen is trouwens moeilijk te maken.</w:t>
      </w:r>
      <w:r w:rsidR="005B0C28">
        <w:rPr>
          <w:rStyle w:val="Voetnootmarkering"/>
          <w:rFonts w:ascii="Times New Roman" w:hAnsi="Times New Roman"/>
          <w:sz w:val="24"/>
        </w:rPr>
        <w:footnoteReference w:id="33"/>
      </w:r>
    </w:p>
    <w:p w:rsidR="00363366" w:rsidRDefault="00363366" w:rsidP="00653C36">
      <w:pPr>
        <w:rPr>
          <w:rFonts w:ascii="Times New Roman" w:hAnsi="Times New Roman"/>
          <w:sz w:val="24"/>
        </w:rPr>
      </w:pPr>
    </w:p>
    <w:p w:rsidR="004166DB" w:rsidRDefault="002B727C" w:rsidP="004166DB">
      <w:pPr>
        <w:rPr>
          <w:rFonts w:ascii="Times New Roman" w:hAnsi="Times New Roman"/>
          <w:sz w:val="24"/>
        </w:rPr>
      </w:pPr>
      <w:r>
        <w:rPr>
          <w:rFonts w:ascii="Times New Roman" w:hAnsi="Times New Roman"/>
          <w:sz w:val="24"/>
        </w:rPr>
        <w:t xml:space="preserve">Voorts is bij het laten vervallen van bijzondere bepalingen met betrekking tot </w:t>
      </w:r>
      <w:r w:rsidRPr="002B727C">
        <w:rPr>
          <w:rFonts w:ascii="Times New Roman" w:hAnsi="Times New Roman"/>
          <w:sz w:val="24"/>
        </w:rPr>
        <w:t>belediging van het openbaar gezag, een openbaar lichaam of een openbare instelling</w:t>
      </w:r>
      <w:r w:rsidR="00910E23">
        <w:rPr>
          <w:rFonts w:ascii="Times New Roman" w:hAnsi="Times New Roman"/>
          <w:sz w:val="24"/>
        </w:rPr>
        <w:t xml:space="preserve"> van belang dat:</w:t>
      </w:r>
      <w:r w:rsidR="004166DB">
        <w:rPr>
          <w:rFonts w:ascii="Times New Roman" w:hAnsi="Times New Roman"/>
          <w:sz w:val="24"/>
        </w:rPr>
        <w:t xml:space="preserve"> </w:t>
      </w:r>
    </w:p>
    <w:p w:rsidR="00345F76" w:rsidRPr="004166DB" w:rsidRDefault="002B727C" w:rsidP="004166DB">
      <w:pPr>
        <w:pStyle w:val="Lijstalinea"/>
        <w:numPr>
          <w:ilvl w:val="0"/>
          <w:numId w:val="3"/>
        </w:numPr>
        <w:rPr>
          <w:rFonts w:ascii="Times New Roman" w:hAnsi="Times New Roman"/>
          <w:sz w:val="24"/>
        </w:rPr>
      </w:pPr>
      <w:r w:rsidRPr="004166DB">
        <w:rPr>
          <w:rFonts w:ascii="Times New Roman" w:hAnsi="Times New Roman"/>
          <w:sz w:val="24"/>
        </w:rPr>
        <w:t>de maximumstraf in geval van eenvoudige belediging – drie maanden gevangenisstraf – al bijzonder hoog is;</w:t>
      </w:r>
    </w:p>
    <w:p w:rsidR="002B727C" w:rsidRDefault="002B727C" w:rsidP="002B727C">
      <w:pPr>
        <w:pStyle w:val="Lijstalinea"/>
        <w:numPr>
          <w:ilvl w:val="0"/>
          <w:numId w:val="3"/>
        </w:numPr>
        <w:rPr>
          <w:rFonts w:ascii="Times New Roman" w:hAnsi="Times New Roman"/>
          <w:sz w:val="24"/>
        </w:rPr>
      </w:pPr>
      <w:r>
        <w:rPr>
          <w:rFonts w:ascii="Times New Roman" w:hAnsi="Times New Roman"/>
          <w:sz w:val="24"/>
        </w:rPr>
        <w:t xml:space="preserve">de Raad van Europa heeft aanbevolen om </w:t>
      </w:r>
      <w:r w:rsidRPr="002B727C">
        <w:rPr>
          <w:rFonts w:ascii="Times New Roman" w:hAnsi="Times New Roman"/>
          <w:sz w:val="24"/>
        </w:rPr>
        <w:t>gevangenisstraf voor beledigingsdelicten onverwijld af</w:t>
      </w:r>
      <w:r>
        <w:rPr>
          <w:rFonts w:ascii="Times New Roman" w:hAnsi="Times New Roman"/>
          <w:sz w:val="24"/>
        </w:rPr>
        <w:t xml:space="preserve"> te </w:t>
      </w:r>
      <w:r w:rsidRPr="002B727C">
        <w:rPr>
          <w:rFonts w:ascii="Times New Roman" w:hAnsi="Times New Roman"/>
          <w:sz w:val="24"/>
        </w:rPr>
        <w:t>schaffen</w:t>
      </w:r>
      <w:r>
        <w:rPr>
          <w:rFonts w:ascii="Times New Roman" w:hAnsi="Times New Roman"/>
          <w:sz w:val="24"/>
        </w:rPr>
        <w:t>;</w:t>
      </w:r>
      <w:r>
        <w:rPr>
          <w:rStyle w:val="Voetnootmarkering"/>
          <w:rFonts w:ascii="Times New Roman" w:hAnsi="Times New Roman"/>
          <w:sz w:val="24"/>
        </w:rPr>
        <w:footnoteReference w:id="34"/>
      </w:r>
    </w:p>
    <w:p w:rsidR="002B727C" w:rsidRPr="002B727C" w:rsidRDefault="002B727C" w:rsidP="002B727C">
      <w:pPr>
        <w:pStyle w:val="Lijstalinea"/>
        <w:numPr>
          <w:ilvl w:val="0"/>
          <w:numId w:val="3"/>
        </w:numPr>
        <w:rPr>
          <w:rFonts w:ascii="Times New Roman" w:hAnsi="Times New Roman"/>
          <w:sz w:val="24"/>
        </w:rPr>
      </w:pPr>
      <w:r>
        <w:rPr>
          <w:rFonts w:ascii="Times New Roman" w:hAnsi="Times New Roman"/>
          <w:sz w:val="24"/>
        </w:rPr>
        <w:t>strafbaarheid van belediging van een abstractie als “het openbaar gezag” of van e</w:t>
      </w:r>
      <w:r w:rsidR="00CC4004">
        <w:rPr>
          <w:rFonts w:ascii="Times New Roman" w:hAnsi="Times New Roman"/>
          <w:sz w:val="24"/>
        </w:rPr>
        <w:t>e</w:t>
      </w:r>
      <w:r>
        <w:rPr>
          <w:rFonts w:ascii="Times New Roman" w:hAnsi="Times New Roman"/>
          <w:sz w:val="24"/>
        </w:rPr>
        <w:t>n rechtspersoon voor het rechtsgevoel van velen niet dezelfde evidentie zal hebben als strafbaarheid van belediging van een natuurlijk persoon.</w:t>
      </w:r>
      <w:r w:rsidR="00274520">
        <w:rPr>
          <w:rStyle w:val="Voetnootmarkering"/>
          <w:rFonts w:ascii="Times New Roman" w:hAnsi="Times New Roman"/>
          <w:sz w:val="24"/>
        </w:rPr>
        <w:footnoteReference w:id="35"/>
      </w:r>
      <w:r>
        <w:rPr>
          <w:rFonts w:ascii="Times New Roman" w:hAnsi="Times New Roman"/>
          <w:sz w:val="24"/>
        </w:rPr>
        <w:t xml:space="preserve"> Weliswaar is ingevolge artikel 266 </w:t>
      </w:r>
      <w:r w:rsidR="00CC4004">
        <w:rPr>
          <w:rFonts w:ascii="Times New Roman" w:hAnsi="Times New Roman"/>
          <w:sz w:val="24"/>
        </w:rPr>
        <w:t xml:space="preserve">Sr </w:t>
      </w:r>
      <w:r>
        <w:rPr>
          <w:rFonts w:ascii="Times New Roman" w:hAnsi="Times New Roman"/>
          <w:sz w:val="24"/>
        </w:rPr>
        <w:t xml:space="preserve">ook belediging van een rechtspersoon mogelijk – en het wetsvoorstel houdt dat </w:t>
      </w:r>
      <w:r w:rsidR="00CC4004">
        <w:rPr>
          <w:rFonts w:ascii="Times New Roman" w:hAnsi="Times New Roman"/>
          <w:sz w:val="24"/>
        </w:rPr>
        <w:t xml:space="preserve">ook </w:t>
      </w:r>
      <w:r>
        <w:rPr>
          <w:rFonts w:ascii="Times New Roman" w:hAnsi="Times New Roman"/>
          <w:sz w:val="24"/>
        </w:rPr>
        <w:t xml:space="preserve">in stand – maar </w:t>
      </w:r>
      <w:r w:rsidR="00CC4004">
        <w:rPr>
          <w:rFonts w:ascii="Times New Roman" w:hAnsi="Times New Roman"/>
          <w:sz w:val="24"/>
        </w:rPr>
        <w:t>als de reputatie van een rechtspersoon opzettelijk wordt beschadigd  ligt toch vaak  een gang naar de burgerlijke rechter meer voor de hand dan strafrechtelijk optreden.</w:t>
      </w:r>
    </w:p>
    <w:p w:rsidR="00AF259D" w:rsidRDefault="00B167D4" w:rsidP="00653C36">
      <w:pPr>
        <w:rPr>
          <w:rFonts w:ascii="Times New Roman" w:hAnsi="Times New Roman"/>
          <w:sz w:val="24"/>
        </w:rPr>
      </w:pPr>
      <w:r>
        <w:rPr>
          <w:rFonts w:ascii="Times New Roman" w:hAnsi="Times New Roman"/>
          <w:sz w:val="24"/>
        </w:rPr>
        <w:t xml:space="preserve">Bovendien maakt de mogelijkheid om burgers te vervolgen wegens belediging van </w:t>
      </w:r>
      <w:r w:rsidRPr="00B167D4">
        <w:rPr>
          <w:rFonts w:ascii="Times New Roman" w:hAnsi="Times New Roman"/>
          <w:sz w:val="24"/>
        </w:rPr>
        <w:t xml:space="preserve">een openbare instelling of </w:t>
      </w:r>
      <w:r>
        <w:rPr>
          <w:rFonts w:ascii="Times New Roman" w:hAnsi="Times New Roman"/>
          <w:sz w:val="24"/>
        </w:rPr>
        <w:t>het openbaar gezag de verhouding tussen overheid en burgers onnodig nog ongelijk</w:t>
      </w:r>
      <w:r w:rsidR="00A951FD">
        <w:rPr>
          <w:rFonts w:ascii="Times New Roman" w:hAnsi="Times New Roman"/>
          <w:sz w:val="24"/>
        </w:rPr>
        <w:t>er</w:t>
      </w:r>
      <w:r>
        <w:rPr>
          <w:rFonts w:ascii="Times New Roman" w:hAnsi="Times New Roman"/>
          <w:sz w:val="24"/>
        </w:rPr>
        <w:t xml:space="preserve"> dan die al is. Overheidsinstellingen beschikken </w:t>
      </w:r>
      <w:r w:rsidR="00CC4D91">
        <w:rPr>
          <w:rFonts w:ascii="Times New Roman" w:hAnsi="Times New Roman"/>
          <w:sz w:val="24"/>
        </w:rPr>
        <w:t xml:space="preserve">– anders dan burgers – </w:t>
      </w:r>
      <w:r>
        <w:rPr>
          <w:rFonts w:ascii="Times New Roman" w:hAnsi="Times New Roman"/>
          <w:sz w:val="24"/>
        </w:rPr>
        <w:t xml:space="preserve">over een leger van communicatie-adviseurs en spin-doctors, </w:t>
      </w:r>
      <w:r w:rsidR="00A951FD">
        <w:rPr>
          <w:rFonts w:ascii="Times New Roman" w:hAnsi="Times New Roman"/>
          <w:sz w:val="24"/>
        </w:rPr>
        <w:t xml:space="preserve">die dagelijks bezig zijn </w:t>
      </w:r>
      <w:r>
        <w:rPr>
          <w:rFonts w:ascii="Times New Roman" w:hAnsi="Times New Roman"/>
          <w:sz w:val="24"/>
        </w:rPr>
        <w:t>om de reputatie van hun instel</w:t>
      </w:r>
      <w:r w:rsidR="00B2753E">
        <w:rPr>
          <w:rFonts w:ascii="Times New Roman" w:hAnsi="Times New Roman"/>
          <w:sz w:val="24"/>
        </w:rPr>
        <w:t xml:space="preserve">ling te </w:t>
      </w:r>
      <w:r w:rsidR="00CC4D91">
        <w:rPr>
          <w:rFonts w:ascii="Times New Roman" w:hAnsi="Times New Roman"/>
          <w:sz w:val="24"/>
        </w:rPr>
        <w:t>verdedigen.</w:t>
      </w:r>
      <w:r w:rsidR="00B2753E">
        <w:rPr>
          <w:rFonts w:ascii="Times New Roman" w:hAnsi="Times New Roman"/>
          <w:sz w:val="24"/>
        </w:rPr>
        <w:t xml:space="preserve"> </w:t>
      </w:r>
    </w:p>
    <w:p w:rsidR="00B2753E" w:rsidRDefault="00B2753E" w:rsidP="00653C36">
      <w:pPr>
        <w:rPr>
          <w:rFonts w:ascii="Times New Roman" w:hAnsi="Times New Roman"/>
          <w:sz w:val="24"/>
        </w:rPr>
      </w:pPr>
      <w:r>
        <w:rPr>
          <w:rFonts w:ascii="Times New Roman" w:hAnsi="Times New Roman"/>
          <w:sz w:val="24"/>
        </w:rPr>
        <w:t>Die instelling</w:t>
      </w:r>
      <w:r w:rsidR="00B167D4">
        <w:rPr>
          <w:rFonts w:ascii="Times New Roman" w:hAnsi="Times New Roman"/>
          <w:sz w:val="24"/>
        </w:rPr>
        <w:t xml:space="preserve">en kunnen </w:t>
      </w:r>
      <w:r>
        <w:rPr>
          <w:rFonts w:ascii="Times New Roman" w:hAnsi="Times New Roman"/>
          <w:sz w:val="24"/>
        </w:rPr>
        <w:t>vaak in de uitoefening van hun taken burgers ervan beschuldigen de wet te hebben overtreden of anderszins hun goede naam aantasten. Burgers kunnen daartegen wel rechtsbescherming zoeken, maar dat kost hen tijd, geld</w:t>
      </w:r>
      <w:r w:rsidR="00A951FD">
        <w:rPr>
          <w:rFonts w:ascii="Times New Roman" w:hAnsi="Times New Roman"/>
          <w:sz w:val="24"/>
        </w:rPr>
        <w:t>,</w:t>
      </w:r>
      <w:r>
        <w:rPr>
          <w:rFonts w:ascii="Times New Roman" w:hAnsi="Times New Roman"/>
          <w:sz w:val="24"/>
        </w:rPr>
        <w:t xml:space="preserve"> moeite en ergernis. Die worden, ook als de klachten van de burger terecht zijn, zelden volledig gecompenseerd. En tot zo iets </w:t>
      </w:r>
      <w:r>
        <w:rPr>
          <w:rFonts w:ascii="Times New Roman" w:hAnsi="Times New Roman"/>
          <w:sz w:val="24"/>
        </w:rPr>
        <w:lastRenderedPageBreak/>
        <w:t xml:space="preserve">simpels als </w:t>
      </w:r>
      <w:r w:rsidR="00B935E3">
        <w:rPr>
          <w:rFonts w:ascii="Times New Roman" w:hAnsi="Times New Roman"/>
          <w:sz w:val="24"/>
        </w:rPr>
        <w:t xml:space="preserve">het </w:t>
      </w:r>
      <w:r>
        <w:rPr>
          <w:rFonts w:ascii="Times New Roman" w:hAnsi="Times New Roman"/>
          <w:sz w:val="24"/>
        </w:rPr>
        <w:t xml:space="preserve">maken </w:t>
      </w:r>
      <w:r w:rsidR="00B935E3">
        <w:rPr>
          <w:rFonts w:ascii="Times New Roman" w:hAnsi="Times New Roman"/>
          <w:sz w:val="24"/>
        </w:rPr>
        <w:t xml:space="preserve">van excuses </w:t>
      </w:r>
      <w:r>
        <w:rPr>
          <w:rFonts w:ascii="Times New Roman" w:hAnsi="Times New Roman"/>
          <w:sz w:val="24"/>
        </w:rPr>
        <w:t xml:space="preserve">zijn veel overheidsinstellingen niet van nature geneigd. Ook in dat licht is </w:t>
      </w:r>
      <w:r w:rsidR="00AF259D">
        <w:rPr>
          <w:rFonts w:ascii="Times New Roman" w:hAnsi="Times New Roman"/>
          <w:sz w:val="24"/>
        </w:rPr>
        <w:t xml:space="preserve">een bijzondere </w:t>
      </w:r>
      <w:r>
        <w:rPr>
          <w:rFonts w:ascii="Times New Roman" w:hAnsi="Times New Roman"/>
          <w:sz w:val="24"/>
        </w:rPr>
        <w:t>strafb</w:t>
      </w:r>
      <w:r w:rsidR="00AF259D">
        <w:rPr>
          <w:rFonts w:ascii="Times New Roman" w:hAnsi="Times New Roman"/>
          <w:sz w:val="24"/>
        </w:rPr>
        <w:t xml:space="preserve">epaling met betrekking tot het door burgers </w:t>
      </w:r>
      <w:r>
        <w:rPr>
          <w:rFonts w:ascii="Times New Roman" w:hAnsi="Times New Roman"/>
          <w:sz w:val="24"/>
        </w:rPr>
        <w:t>be</w:t>
      </w:r>
      <w:r w:rsidR="00A951FD">
        <w:rPr>
          <w:rFonts w:ascii="Times New Roman" w:hAnsi="Times New Roman"/>
          <w:sz w:val="24"/>
        </w:rPr>
        <w:t>led</w:t>
      </w:r>
      <w:r>
        <w:rPr>
          <w:rFonts w:ascii="Times New Roman" w:hAnsi="Times New Roman"/>
          <w:sz w:val="24"/>
        </w:rPr>
        <w:t>i</w:t>
      </w:r>
      <w:r w:rsidR="00AF259D">
        <w:rPr>
          <w:rFonts w:ascii="Times New Roman" w:hAnsi="Times New Roman"/>
          <w:sz w:val="24"/>
        </w:rPr>
        <w:t>gen</w:t>
      </w:r>
      <w:r>
        <w:rPr>
          <w:rFonts w:ascii="Times New Roman" w:hAnsi="Times New Roman"/>
          <w:sz w:val="24"/>
        </w:rPr>
        <w:t xml:space="preserve"> van openbare instellingen en het openbaar gezag</w:t>
      </w:r>
      <w:r w:rsidR="00530CC4">
        <w:rPr>
          <w:rFonts w:ascii="Times New Roman" w:hAnsi="Times New Roman"/>
          <w:sz w:val="24"/>
        </w:rPr>
        <w:t xml:space="preserve"> </w:t>
      </w:r>
      <w:r>
        <w:rPr>
          <w:rFonts w:ascii="Times New Roman" w:hAnsi="Times New Roman"/>
          <w:sz w:val="24"/>
        </w:rPr>
        <w:t xml:space="preserve">– met een verhoogde strafmaat en het vervallen van het klachtvereiste – niet </w:t>
      </w:r>
      <w:r w:rsidR="00AF259D">
        <w:rPr>
          <w:rFonts w:ascii="Times New Roman" w:hAnsi="Times New Roman"/>
          <w:sz w:val="24"/>
        </w:rPr>
        <w:t>evenwichtig en onnodig</w:t>
      </w:r>
      <w:r>
        <w:rPr>
          <w:rFonts w:ascii="Times New Roman" w:hAnsi="Times New Roman"/>
          <w:sz w:val="24"/>
        </w:rPr>
        <w:t>.</w:t>
      </w:r>
      <w:r w:rsidR="00AF259D">
        <w:rPr>
          <w:rFonts w:ascii="Times New Roman" w:hAnsi="Times New Roman"/>
          <w:sz w:val="24"/>
        </w:rPr>
        <w:t xml:space="preserve"> </w:t>
      </w:r>
    </w:p>
    <w:p w:rsidR="00AF259D" w:rsidRDefault="00AF259D" w:rsidP="00653C36">
      <w:pPr>
        <w:rPr>
          <w:rFonts w:ascii="Times New Roman" w:hAnsi="Times New Roman"/>
          <w:sz w:val="24"/>
        </w:rPr>
      </w:pPr>
    </w:p>
    <w:p w:rsidR="00BB4D64" w:rsidRDefault="00C40F78" w:rsidP="00450C79">
      <w:pPr>
        <w:rPr>
          <w:rFonts w:ascii="Times New Roman" w:hAnsi="Times New Roman"/>
          <w:sz w:val="24"/>
        </w:rPr>
      </w:pPr>
      <w:r w:rsidRPr="00C40F78">
        <w:rPr>
          <w:rFonts w:ascii="Times New Roman" w:hAnsi="Times New Roman"/>
          <w:sz w:val="24"/>
        </w:rPr>
        <w:t xml:space="preserve">De aan het wetsvoorstel ten grondslag liggende gedachte dat aan een bijzondere bescherming voor hoofden en leden van de regeringen van bevriende staten geen behoefte meer bestaat, brengt met zich mee dat </w:t>
      </w:r>
      <w:r w:rsidR="00574D42">
        <w:rPr>
          <w:rFonts w:ascii="Times New Roman" w:hAnsi="Times New Roman"/>
          <w:sz w:val="24"/>
        </w:rPr>
        <w:t xml:space="preserve">ook </w:t>
      </w:r>
      <w:r w:rsidRPr="00C40F78">
        <w:rPr>
          <w:rFonts w:ascii="Times New Roman" w:hAnsi="Times New Roman"/>
          <w:sz w:val="24"/>
        </w:rPr>
        <w:t>de vermelding van deze personen in artikel 267 Sr onder 3</w:t>
      </w:r>
      <w:r w:rsidRPr="006C7052">
        <w:rPr>
          <w:rFonts w:ascii="Times New Roman" w:hAnsi="Times New Roman"/>
          <w:sz w:val="24"/>
          <w:vertAlign w:val="superscript"/>
        </w:rPr>
        <w:t>o</w:t>
      </w:r>
      <w:r w:rsidRPr="00C40F78">
        <w:rPr>
          <w:rFonts w:ascii="Times New Roman" w:hAnsi="Times New Roman"/>
          <w:sz w:val="24"/>
        </w:rPr>
        <w:t xml:space="preserve"> kan worden geschrapt.</w:t>
      </w:r>
    </w:p>
    <w:p w:rsidR="00C40F78" w:rsidRDefault="00C40F78" w:rsidP="00450C79">
      <w:pPr>
        <w:rPr>
          <w:rFonts w:ascii="Times New Roman" w:hAnsi="Times New Roman"/>
          <w:sz w:val="24"/>
        </w:rPr>
      </w:pPr>
    </w:p>
    <w:p w:rsidR="00E75221" w:rsidRPr="000C3CCC" w:rsidRDefault="000C3CCC" w:rsidP="00E75221">
      <w:pPr>
        <w:widowControl w:val="0"/>
        <w:jc w:val="both"/>
        <w:rPr>
          <w:rFonts w:ascii="Times New Roman" w:hAnsi="Times New Roman"/>
          <w:i/>
          <w:sz w:val="24"/>
          <w:szCs w:val="20"/>
        </w:rPr>
      </w:pPr>
      <w:r w:rsidRPr="000C3CCC">
        <w:rPr>
          <w:rFonts w:ascii="Times New Roman" w:hAnsi="Times New Roman"/>
          <w:i/>
          <w:sz w:val="24"/>
          <w:szCs w:val="20"/>
        </w:rPr>
        <w:t xml:space="preserve">4.3 </w:t>
      </w:r>
      <w:r w:rsidR="00E75221" w:rsidRPr="000C3CCC">
        <w:rPr>
          <w:rFonts w:ascii="Times New Roman" w:hAnsi="Times New Roman"/>
          <w:i/>
          <w:sz w:val="24"/>
          <w:szCs w:val="20"/>
        </w:rPr>
        <w:t>Bevriende staatshoofden, leden van regeringen en hun officiële vertegenwoordigers</w:t>
      </w:r>
    </w:p>
    <w:p w:rsidR="000C3CCC" w:rsidRPr="00E75221" w:rsidRDefault="000C3CCC" w:rsidP="00E75221">
      <w:pPr>
        <w:widowControl w:val="0"/>
        <w:jc w:val="both"/>
        <w:rPr>
          <w:rFonts w:ascii="Times New Roman" w:hAnsi="Times New Roman"/>
          <w:sz w:val="24"/>
          <w:szCs w:val="20"/>
          <w:u w:val="single"/>
        </w:rPr>
      </w:pPr>
    </w:p>
    <w:p w:rsidR="00C71E97" w:rsidRDefault="00C11117" w:rsidP="000C3CCC">
      <w:pPr>
        <w:widowControl w:val="0"/>
        <w:rPr>
          <w:rFonts w:ascii="Times New Roman" w:hAnsi="Times New Roman"/>
          <w:i/>
          <w:sz w:val="24"/>
          <w:szCs w:val="20"/>
        </w:rPr>
      </w:pPr>
      <w:r>
        <w:rPr>
          <w:rFonts w:ascii="Times New Roman" w:hAnsi="Times New Roman"/>
          <w:sz w:val="24"/>
          <w:szCs w:val="20"/>
        </w:rPr>
        <w:t xml:space="preserve">Het </w:t>
      </w:r>
      <w:r w:rsidR="000C3CCC">
        <w:rPr>
          <w:rFonts w:ascii="Times New Roman" w:hAnsi="Times New Roman"/>
          <w:sz w:val="24"/>
          <w:szCs w:val="20"/>
        </w:rPr>
        <w:t>schrappen van de bijzondere strafbepalingen met betrekking tot he</w:t>
      </w:r>
      <w:r w:rsidR="000C3CCC" w:rsidRPr="000C3CCC">
        <w:rPr>
          <w:rFonts w:ascii="Times New Roman" w:hAnsi="Times New Roman"/>
          <w:sz w:val="24"/>
          <w:szCs w:val="20"/>
        </w:rPr>
        <w:t xml:space="preserve">t hoofd of een lid van de regering </w:t>
      </w:r>
      <w:r w:rsidR="000C3CCC">
        <w:rPr>
          <w:rFonts w:ascii="Times New Roman" w:hAnsi="Times New Roman"/>
          <w:sz w:val="24"/>
          <w:szCs w:val="20"/>
        </w:rPr>
        <w:t xml:space="preserve">en officiële vertegenwoordigers </w:t>
      </w:r>
      <w:r w:rsidR="000C3CCC" w:rsidRPr="000C3CCC">
        <w:rPr>
          <w:rFonts w:ascii="Times New Roman" w:hAnsi="Times New Roman"/>
          <w:sz w:val="24"/>
          <w:szCs w:val="20"/>
        </w:rPr>
        <w:t>van een bevriende staat</w:t>
      </w:r>
      <w:r w:rsidR="000C3CCC">
        <w:rPr>
          <w:rFonts w:ascii="Times New Roman" w:hAnsi="Times New Roman"/>
          <w:sz w:val="24"/>
          <w:szCs w:val="20"/>
        </w:rPr>
        <w:t xml:space="preserve"> </w:t>
      </w:r>
      <w:r>
        <w:rPr>
          <w:rFonts w:ascii="Times New Roman" w:hAnsi="Times New Roman"/>
          <w:sz w:val="24"/>
          <w:szCs w:val="20"/>
        </w:rPr>
        <w:t>leidt niet tot volkenrechtelijke problemen. H</w:t>
      </w:r>
      <w:r w:rsidR="00E75221" w:rsidRPr="00E75221">
        <w:rPr>
          <w:rFonts w:ascii="Times New Roman" w:hAnsi="Times New Roman"/>
          <w:sz w:val="24"/>
          <w:szCs w:val="20"/>
        </w:rPr>
        <w:t xml:space="preserve">et </w:t>
      </w:r>
      <w:r>
        <w:rPr>
          <w:rFonts w:ascii="Times New Roman" w:hAnsi="Times New Roman"/>
          <w:sz w:val="24"/>
          <w:szCs w:val="20"/>
        </w:rPr>
        <w:t xml:space="preserve">is </w:t>
      </w:r>
      <w:r w:rsidR="00E75221" w:rsidRPr="00E75221">
        <w:rPr>
          <w:rFonts w:ascii="Times New Roman" w:hAnsi="Times New Roman"/>
          <w:sz w:val="24"/>
          <w:szCs w:val="20"/>
        </w:rPr>
        <w:t xml:space="preserve">een vrije keuze van een staat </w:t>
      </w:r>
      <w:r w:rsidR="008A015F">
        <w:rPr>
          <w:rFonts w:ascii="Times New Roman" w:hAnsi="Times New Roman"/>
          <w:sz w:val="24"/>
          <w:szCs w:val="20"/>
        </w:rPr>
        <w:t xml:space="preserve">om </w:t>
      </w:r>
      <w:r w:rsidR="00E75221" w:rsidRPr="00E75221">
        <w:rPr>
          <w:rFonts w:ascii="Times New Roman" w:hAnsi="Times New Roman"/>
          <w:sz w:val="24"/>
          <w:szCs w:val="20"/>
        </w:rPr>
        <w:t>wel of niet tot deze strafbaarstelling over te gaan.</w:t>
      </w:r>
      <w:r w:rsidR="00E75221" w:rsidRPr="00E75221">
        <w:rPr>
          <w:rFonts w:ascii="Times New Roman" w:hAnsi="Times New Roman"/>
          <w:sz w:val="24"/>
          <w:szCs w:val="20"/>
          <w:vertAlign w:val="superscript"/>
        </w:rPr>
        <w:footnoteReference w:id="36"/>
      </w:r>
      <w:r w:rsidR="00E75221" w:rsidRPr="00E75221">
        <w:rPr>
          <w:rFonts w:ascii="Times New Roman" w:hAnsi="Times New Roman"/>
          <w:sz w:val="24"/>
          <w:szCs w:val="20"/>
        </w:rPr>
        <w:t xml:space="preserve"> </w:t>
      </w:r>
      <w:r>
        <w:rPr>
          <w:rFonts w:ascii="Times New Roman" w:hAnsi="Times New Roman"/>
          <w:sz w:val="24"/>
          <w:szCs w:val="20"/>
        </w:rPr>
        <w:t xml:space="preserve">De </w:t>
      </w:r>
      <w:r w:rsidR="000C3CCC" w:rsidRPr="00E75221">
        <w:rPr>
          <w:rFonts w:ascii="Times New Roman" w:hAnsi="Times New Roman"/>
          <w:sz w:val="24"/>
          <w:szCs w:val="20"/>
        </w:rPr>
        <w:t xml:space="preserve">werkgroep-Langemeijer </w:t>
      </w:r>
      <w:r w:rsidR="00C71E97">
        <w:rPr>
          <w:rFonts w:ascii="Times New Roman" w:hAnsi="Times New Roman"/>
          <w:sz w:val="24"/>
          <w:szCs w:val="20"/>
        </w:rPr>
        <w:t xml:space="preserve">uit 1969, </w:t>
      </w:r>
      <w:r w:rsidR="00E75221" w:rsidRPr="00E75221">
        <w:rPr>
          <w:rFonts w:ascii="Times New Roman" w:hAnsi="Times New Roman"/>
          <w:sz w:val="24"/>
          <w:szCs w:val="20"/>
        </w:rPr>
        <w:t xml:space="preserve">gesteund door de Adviescommissie inzake Volkenrechtelijke vraagstukken, </w:t>
      </w:r>
      <w:r>
        <w:rPr>
          <w:rFonts w:ascii="Times New Roman" w:hAnsi="Times New Roman"/>
          <w:sz w:val="24"/>
          <w:szCs w:val="20"/>
        </w:rPr>
        <w:t xml:space="preserve">merkt hierover op </w:t>
      </w:r>
      <w:r w:rsidR="00E75221" w:rsidRPr="00E75221">
        <w:rPr>
          <w:rFonts w:ascii="Times New Roman" w:hAnsi="Times New Roman"/>
          <w:sz w:val="24"/>
          <w:szCs w:val="20"/>
        </w:rPr>
        <w:t>dat</w:t>
      </w:r>
      <w:r w:rsidR="008A015F">
        <w:rPr>
          <w:rFonts w:ascii="Times New Roman" w:hAnsi="Times New Roman"/>
          <w:sz w:val="24"/>
          <w:szCs w:val="20"/>
        </w:rPr>
        <w:t>:</w:t>
      </w:r>
      <w:r w:rsidR="00E75221" w:rsidRPr="00E75221">
        <w:rPr>
          <w:rFonts w:ascii="Times New Roman" w:hAnsi="Times New Roman"/>
          <w:sz w:val="24"/>
          <w:szCs w:val="20"/>
        </w:rPr>
        <w:t xml:space="preserve"> ‘</w:t>
      </w:r>
      <w:r w:rsidR="00E75221" w:rsidRPr="00E75221">
        <w:rPr>
          <w:rFonts w:ascii="Times New Roman" w:hAnsi="Times New Roman"/>
          <w:i/>
          <w:sz w:val="24"/>
          <w:szCs w:val="20"/>
        </w:rPr>
        <w:t>elk land vrij geacht kan worden al dan niet een speciale voorziening te treffen voor de strafrechtelijke bescherming van eer en goede naam van hoofden van bevriende staten, zolang maar de bescherming van de eer en goede naam in het algemeen in de rechtsorde van dat land zowel uit het oogpunt van de geldende normen als uit dat van haar praktische handhaving aan internationaal algemeen aanvaarde standaarden voldoet’.</w:t>
      </w:r>
      <w:r w:rsidR="00E75221" w:rsidRPr="00C11117">
        <w:rPr>
          <w:rFonts w:ascii="Times New Roman" w:hAnsi="Times New Roman"/>
          <w:sz w:val="24"/>
          <w:szCs w:val="20"/>
          <w:vertAlign w:val="superscript"/>
        </w:rPr>
        <w:footnoteReference w:id="37"/>
      </w:r>
      <w:r w:rsidR="00E75221" w:rsidRPr="00C11117">
        <w:rPr>
          <w:rFonts w:ascii="Times New Roman" w:hAnsi="Times New Roman"/>
          <w:sz w:val="24"/>
          <w:szCs w:val="20"/>
        </w:rPr>
        <w:t xml:space="preserve"> </w:t>
      </w:r>
    </w:p>
    <w:p w:rsidR="00C71E97" w:rsidRDefault="00E75221" w:rsidP="000C3CCC">
      <w:pPr>
        <w:widowControl w:val="0"/>
        <w:rPr>
          <w:rFonts w:ascii="Times New Roman" w:hAnsi="Times New Roman"/>
          <w:sz w:val="24"/>
          <w:szCs w:val="20"/>
        </w:rPr>
      </w:pPr>
      <w:r w:rsidRPr="00E75221">
        <w:rPr>
          <w:rFonts w:ascii="Times New Roman" w:hAnsi="Times New Roman"/>
          <w:sz w:val="24"/>
          <w:szCs w:val="20"/>
        </w:rPr>
        <w:t>Nederland kent commun</w:t>
      </w:r>
      <w:r w:rsidR="00C11117">
        <w:rPr>
          <w:rFonts w:ascii="Times New Roman" w:hAnsi="Times New Roman"/>
          <w:sz w:val="24"/>
          <w:szCs w:val="20"/>
        </w:rPr>
        <w:t>e, voor een ieder toegankelijke</w:t>
      </w:r>
      <w:r w:rsidRPr="00E75221">
        <w:rPr>
          <w:rFonts w:ascii="Times New Roman" w:hAnsi="Times New Roman"/>
          <w:sz w:val="24"/>
          <w:szCs w:val="20"/>
        </w:rPr>
        <w:t xml:space="preserve"> strafbaarstellingen van belediging</w:t>
      </w:r>
      <w:r w:rsidR="00FC4A68">
        <w:rPr>
          <w:rFonts w:ascii="Times New Roman" w:hAnsi="Times New Roman"/>
          <w:sz w:val="24"/>
          <w:szCs w:val="20"/>
        </w:rPr>
        <w:t xml:space="preserve">. Daarmee is </w:t>
      </w:r>
      <w:r w:rsidRPr="00E75221">
        <w:rPr>
          <w:rFonts w:ascii="Times New Roman" w:hAnsi="Times New Roman"/>
          <w:sz w:val="24"/>
          <w:szCs w:val="20"/>
        </w:rPr>
        <w:t xml:space="preserve">aan deze voorwaarde voldaan. </w:t>
      </w:r>
    </w:p>
    <w:p w:rsidR="008A0162" w:rsidRDefault="008A0162" w:rsidP="005D44DE">
      <w:pPr>
        <w:rPr>
          <w:rFonts w:ascii="Times New Roman" w:hAnsi="Times New Roman"/>
          <w:sz w:val="24"/>
        </w:rPr>
      </w:pPr>
    </w:p>
    <w:p w:rsidR="008A0162" w:rsidRPr="00CF282F" w:rsidRDefault="008A0162" w:rsidP="005D44DE">
      <w:pPr>
        <w:rPr>
          <w:rFonts w:ascii="Times New Roman" w:hAnsi="Times New Roman"/>
          <w:b/>
          <w:sz w:val="24"/>
        </w:rPr>
      </w:pPr>
      <w:r w:rsidRPr="00CF282F">
        <w:rPr>
          <w:rFonts w:ascii="Times New Roman" w:hAnsi="Times New Roman"/>
          <w:b/>
          <w:sz w:val="24"/>
        </w:rPr>
        <w:t>ARTIKELSGEWIJS</w:t>
      </w:r>
    </w:p>
    <w:p w:rsidR="008A0162" w:rsidRPr="00CF282F" w:rsidRDefault="008A0162" w:rsidP="005D44DE">
      <w:pPr>
        <w:rPr>
          <w:rFonts w:ascii="Times New Roman" w:hAnsi="Times New Roman"/>
          <w:sz w:val="24"/>
        </w:rPr>
      </w:pPr>
    </w:p>
    <w:p w:rsidR="008A0162" w:rsidRDefault="00653C36" w:rsidP="005D44DE">
      <w:pPr>
        <w:rPr>
          <w:rFonts w:ascii="Times New Roman" w:hAnsi="Times New Roman"/>
          <w:sz w:val="24"/>
        </w:rPr>
      </w:pPr>
      <w:r>
        <w:rPr>
          <w:rFonts w:ascii="Times New Roman" w:hAnsi="Times New Roman"/>
          <w:sz w:val="24"/>
        </w:rPr>
        <w:t>ARTIKEL I</w:t>
      </w:r>
    </w:p>
    <w:p w:rsidR="00653C36" w:rsidRDefault="00653C36" w:rsidP="005D44DE">
      <w:pPr>
        <w:rPr>
          <w:rFonts w:ascii="Times New Roman" w:hAnsi="Times New Roman"/>
          <w:sz w:val="24"/>
        </w:rPr>
      </w:pPr>
    </w:p>
    <w:p w:rsidR="0094058F" w:rsidRDefault="0094058F" w:rsidP="005D44DE">
      <w:pPr>
        <w:rPr>
          <w:rFonts w:ascii="Times New Roman" w:hAnsi="Times New Roman"/>
          <w:i/>
          <w:sz w:val="24"/>
        </w:rPr>
      </w:pPr>
      <w:r w:rsidRPr="0094058F">
        <w:rPr>
          <w:rFonts w:ascii="Times New Roman" w:hAnsi="Times New Roman"/>
          <w:i/>
          <w:sz w:val="24"/>
        </w:rPr>
        <w:t>Onderdeel A</w:t>
      </w:r>
    </w:p>
    <w:p w:rsidR="0094058F" w:rsidRDefault="0094058F" w:rsidP="005D44DE">
      <w:pPr>
        <w:rPr>
          <w:rFonts w:ascii="Times New Roman" w:hAnsi="Times New Roman"/>
          <w:i/>
          <w:sz w:val="24"/>
        </w:rPr>
      </w:pPr>
    </w:p>
    <w:p w:rsidR="00DA6250" w:rsidRDefault="00DA6250" w:rsidP="005D44DE">
      <w:pPr>
        <w:rPr>
          <w:rFonts w:ascii="Times New Roman" w:hAnsi="Times New Roman"/>
          <w:sz w:val="24"/>
        </w:rPr>
      </w:pPr>
      <w:r>
        <w:rPr>
          <w:rFonts w:ascii="Times New Roman" w:hAnsi="Times New Roman"/>
          <w:sz w:val="24"/>
        </w:rPr>
        <w:t xml:space="preserve">Deze wijziging is nodig </w:t>
      </w:r>
      <w:r w:rsidRPr="00DA6250">
        <w:rPr>
          <w:rFonts w:ascii="Times New Roman" w:hAnsi="Times New Roman"/>
          <w:sz w:val="24"/>
        </w:rPr>
        <w:t xml:space="preserve">in verband met het vervallen van de artikelen 111 </w:t>
      </w:r>
      <w:r w:rsidR="00D4035D">
        <w:rPr>
          <w:rFonts w:ascii="Times New Roman" w:hAnsi="Times New Roman"/>
          <w:sz w:val="24"/>
        </w:rPr>
        <w:t xml:space="preserve">tot en met 113, 118 </w:t>
      </w:r>
      <w:r w:rsidRPr="00DA6250">
        <w:rPr>
          <w:rFonts w:ascii="Times New Roman" w:hAnsi="Times New Roman"/>
          <w:sz w:val="24"/>
        </w:rPr>
        <w:t>en 11</w:t>
      </w:r>
      <w:r w:rsidR="00D4035D">
        <w:rPr>
          <w:rFonts w:ascii="Times New Roman" w:hAnsi="Times New Roman"/>
          <w:sz w:val="24"/>
        </w:rPr>
        <w:t>9</w:t>
      </w:r>
      <w:r w:rsidRPr="00DA6250">
        <w:rPr>
          <w:rFonts w:ascii="Times New Roman" w:hAnsi="Times New Roman"/>
          <w:sz w:val="24"/>
        </w:rPr>
        <w:t xml:space="preserve"> Sr</w:t>
      </w:r>
      <w:r w:rsidR="00D4035D">
        <w:rPr>
          <w:rFonts w:ascii="Times New Roman" w:hAnsi="Times New Roman"/>
          <w:sz w:val="24"/>
        </w:rPr>
        <w:t>.</w:t>
      </w:r>
      <w:r w:rsidRPr="00DA6250">
        <w:rPr>
          <w:rFonts w:ascii="Times New Roman" w:hAnsi="Times New Roman"/>
          <w:sz w:val="24"/>
        </w:rPr>
        <w:t xml:space="preserve"> </w:t>
      </w:r>
    </w:p>
    <w:p w:rsidR="0094058F" w:rsidRDefault="0094058F" w:rsidP="005D44DE">
      <w:pPr>
        <w:rPr>
          <w:rFonts w:ascii="Times New Roman" w:hAnsi="Times New Roman"/>
          <w:i/>
          <w:sz w:val="24"/>
        </w:rPr>
      </w:pPr>
    </w:p>
    <w:p w:rsidR="0094058F" w:rsidRDefault="0094058F" w:rsidP="005D44DE">
      <w:pPr>
        <w:rPr>
          <w:rFonts w:ascii="Times New Roman" w:hAnsi="Times New Roman"/>
          <w:i/>
          <w:sz w:val="24"/>
        </w:rPr>
      </w:pPr>
      <w:r>
        <w:rPr>
          <w:rFonts w:ascii="Times New Roman" w:hAnsi="Times New Roman"/>
          <w:i/>
          <w:sz w:val="24"/>
        </w:rPr>
        <w:t>Onderdeel B</w:t>
      </w:r>
    </w:p>
    <w:p w:rsidR="0094058F" w:rsidRDefault="0094058F" w:rsidP="005D44DE">
      <w:pPr>
        <w:rPr>
          <w:rFonts w:ascii="Times New Roman" w:hAnsi="Times New Roman"/>
          <w:i/>
          <w:sz w:val="24"/>
        </w:rPr>
      </w:pPr>
    </w:p>
    <w:p w:rsidR="0094058F" w:rsidRPr="007348E9" w:rsidRDefault="007348E9" w:rsidP="005D44DE">
      <w:pPr>
        <w:rPr>
          <w:rFonts w:ascii="Times New Roman" w:hAnsi="Times New Roman"/>
          <w:sz w:val="24"/>
        </w:rPr>
      </w:pPr>
      <w:r>
        <w:rPr>
          <w:rFonts w:ascii="Times New Roman" w:hAnsi="Times New Roman"/>
          <w:sz w:val="24"/>
        </w:rPr>
        <w:t>Met deze wijziging komen de specifieke bepalingen inzake het beledigen van de Koning,</w:t>
      </w:r>
      <w:r w:rsidRPr="007348E9">
        <w:rPr>
          <w:rFonts w:ascii="Times New Roman" w:hAnsi="Times New Roman"/>
          <w:sz w:val="24"/>
        </w:rPr>
        <w:t xml:space="preserve"> van de echtgenoot van de Koning, van de vermoedelijke opvolger van de Koning, van die</w:t>
      </w:r>
      <w:r>
        <w:rPr>
          <w:rFonts w:ascii="Times New Roman" w:hAnsi="Times New Roman"/>
          <w:sz w:val="24"/>
        </w:rPr>
        <w:t xml:space="preserve">ns echtgenoot, of van de Regent te vervallen.  </w:t>
      </w:r>
    </w:p>
    <w:p w:rsidR="0094058F" w:rsidRDefault="0094058F" w:rsidP="005D44DE">
      <w:pPr>
        <w:rPr>
          <w:rFonts w:ascii="Times New Roman" w:hAnsi="Times New Roman"/>
          <w:i/>
          <w:sz w:val="24"/>
        </w:rPr>
      </w:pPr>
    </w:p>
    <w:p w:rsidR="0094058F" w:rsidRDefault="0094058F" w:rsidP="005D44DE">
      <w:pPr>
        <w:rPr>
          <w:rFonts w:ascii="Times New Roman" w:hAnsi="Times New Roman"/>
          <w:i/>
          <w:sz w:val="24"/>
        </w:rPr>
      </w:pPr>
      <w:r>
        <w:rPr>
          <w:rFonts w:ascii="Times New Roman" w:hAnsi="Times New Roman"/>
          <w:i/>
          <w:sz w:val="24"/>
        </w:rPr>
        <w:t>Onderdeel C</w:t>
      </w:r>
    </w:p>
    <w:p w:rsidR="0094058F" w:rsidRDefault="0094058F" w:rsidP="005D44DE">
      <w:pPr>
        <w:rPr>
          <w:rFonts w:ascii="Times New Roman" w:hAnsi="Times New Roman"/>
          <w:i/>
          <w:sz w:val="24"/>
        </w:rPr>
      </w:pPr>
    </w:p>
    <w:p w:rsidR="0094058F" w:rsidRDefault="00DA6250" w:rsidP="005D44DE">
      <w:pPr>
        <w:rPr>
          <w:rFonts w:ascii="Times New Roman" w:hAnsi="Times New Roman"/>
          <w:sz w:val="24"/>
        </w:rPr>
      </w:pPr>
      <w:r w:rsidRPr="00DA6250">
        <w:rPr>
          <w:rFonts w:ascii="Times New Roman" w:hAnsi="Times New Roman"/>
          <w:sz w:val="24"/>
        </w:rPr>
        <w:t xml:space="preserve">Deze wijziging is nodig </w:t>
      </w:r>
      <w:r w:rsidR="004F40C8">
        <w:rPr>
          <w:rFonts w:ascii="Times New Roman" w:hAnsi="Times New Roman"/>
          <w:sz w:val="24"/>
        </w:rPr>
        <w:t>in verband met het vervallen van de artikelen 111 en 112 S</w:t>
      </w:r>
      <w:r>
        <w:rPr>
          <w:rFonts w:ascii="Times New Roman" w:hAnsi="Times New Roman"/>
          <w:sz w:val="24"/>
        </w:rPr>
        <w:t>r.</w:t>
      </w:r>
    </w:p>
    <w:p w:rsidR="004F40C8" w:rsidRDefault="004F40C8" w:rsidP="005D44DE">
      <w:pPr>
        <w:rPr>
          <w:rFonts w:ascii="Times New Roman" w:hAnsi="Times New Roman"/>
          <w:sz w:val="24"/>
        </w:rPr>
      </w:pPr>
    </w:p>
    <w:p w:rsidR="004F40C8" w:rsidRPr="004F40C8" w:rsidRDefault="004F40C8" w:rsidP="005D44DE">
      <w:pPr>
        <w:rPr>
          <w:rFonts w:ascii="Times New Roman" w:hAnsi="Times New Roman"/>
          <w:i/>
          <w:sz w:val="24"/>
        </w:rPr>
      </w:pPr>
      <w:r w:rsidRPr="004F40C8">
        <w:rPr>
          <w:rFonts w:ascii="Times New Roman" w:hAnsi="Times New Roman"/>
          <w:i/>
          <w:sz w:val="24"/>
        </w:rPr>
        <w:lastRenderedPageBreak/>
        <w:t>Onderdeel D</w:t>
      </w:r>
    </w:p>
    <w:p w:rsidR="004F40C8" w:rsidRDefault="004F40C8" w:rsidP="005D44DE">
      <w:pPr>
        <w:rPr>
          <w:rFonts w:ascii="Times New Roman" w:hAnsi="Times New Roman"/>
          <w:sz w:val="24"/>
        </w:rPr>
      </w:pPr>
    </w:p>
    <w:p w:rsidR="004F40C8" w:rsidRPr="004F40C8" w:rsidRDefault="004F40C8" w:rsidP="004F40C8">
      <w:pPr>
        <w:rPr>
          <w:rFonts w:ascii="Times New Roman" w:hAnsi="Times New Roman"/>
          <w:sz w:val="24"/>
        </w:rPr>
      </w:pPr>
      <w:r w:rsidRPr="007348E9">
        <w:rPr>
          <w:rFonts w:ascii="Times New Roman" w:hAnsi="Times New Roman"/>
          <w:sz w:val="24"/>
        </w:rPr>
        <w:t>Met deze wijziging komen de specifieke bepalingen inzake het beledigen van</w:t>
      </w:r>
      <w:r w:rsidRPr="004F40C8">
        <w:rPr>
          <w:rFonts w:ascii="Times New Roman" w:hAnsi="Times New Roman"/>
          <w:sz w:val="24"/>
        </w:rPr>
        <w:t xml:space="preserve"> </w:t>
      </w:r>
      <w:r>
        <w:rPr>
          <w:rFonts w:ascii="Times New Roman" w:hAnsi="Times New Roman"/>
          <w:sz w:val="24"/>
        </w:rPr>
        <w:t>het</w:t>
      </w:r>
      <w:r w:rsidRPr="004F40C8">
        <w:rPr>
          <w:rFonts w:ascii="Times New Roman" w:hAnsi="Times New Roman"/>
          <w:sz w:val="24"/>
        </w:rPr>
        <w:t xml:space="preserve">  hoofd of een lid van de regering </w:t>
      </w:r>
      <w:r>
        <w:rPr>
          <w:rFonts w:ascii="Times New Roman" w:hAnsi="Times New Roman"/>
          <w:sz w:val="24"/>
        </w:rPr>
        <w:t xml:space="preserve">of van een officiële </w:t>
      </w:r>
      <w:r w:rsidRPr="004F40C8">
        <w:rPr>
          <w:rFonts w:ascii="Times New Roman" w:hAnsi="Times New Roman"/>
          <w:sz w:val="24"/>
        </w:rPr>
        <w:t>vertegenwoordiger van een bevriende staat</w:t>
      </w:r>
    </w:p>
    <w:p w:rsidR="004F40C8" w:rsidRPr="007348E9" w:rsidRDefault="004F40C8" w:rsidP="004F40C8">
      <w:pPr>
        <w:rPr>
          <w:rFonts w:ascii="Times New Roman" w:hAnsi="Times New Roman"/>
          <w:sz w:val="24"/>
        </w:rPr>
      </w:pPr>
      <w:r w:rsidRPr="007348E9">
        <w:rPr>
          <w:rFonts w:ascii="Times New Roman" w:hAnsi="Times New Roman"/>
          <w:sz w:val="24"/>
        </w:rPr>
        <w:t xml:space="preserve">te vervallen.  </w:t>
      </w:r>
    </w:p>
    <w:p w:rsidR="004F40C8" w:rsidRPr="004F40C8" w:rsidRDefault="004F40C8" w:rsidP="005D44DE">
      <w:pPr>
        <w:rPr>
          <w:rFonts w:ascii="Times New Roman" w:hAnsi="Times New Roman"/>
          <w:sz w:val="24"/>
        </w:rPr>
      </w:pPr>
    </w:p>
    <w:p w:rsidR="00653C36" w:rsidRDefault="00653C36" w:rsidP="00C71E97">
      <w:pPr>
        <w:rPr>
          <w:rFonts w:ascii="Times New Roman" w:hAnsi="Times New Roman"/>
          <w:i/>
          <w:sz w:val="24"/>
        </w:rPr>
      </w:pPr>
      <w:r w:rsidRPr="00C71E97">
        <w:rPr>
          <w:rFonts w:ascii="Times New Roman" w:hAnsi="Times New Roman"/>
          <w:i/>
          <w:sz w:val="24"/>
        </w:rPr>
        <w:t>Onderdeel E</w:t>
      </w:r>
    </w:p>
    <w:p w:rsidR="0094058F" w:rsidRDefault="0094058F" w:rsidP="00C71E97">
      <w:pPr>
        <w:rPr>
          <w:rFonts w:ascii="Times New Roman" w:hAnsi="Times New Roman"/>
          <w:i/>
          <w:sz w:val="24"/>
        </w:rPr>
      </w:pPr>
    </w:p>
    <w:p w:rsidR="00B25CF2" w:rsidRDefault="004F40C8" w:rsidP="00DA6250">
      <w:pPr>
        <w:rPr>
          <w:rFonts w:ascii="Times New Roman" w:hAnsi="Times New Roman"/>
          <w:sz w:val="24"/>
        </w:rPr>
      </w:pPr>
      <w:r>
        <w:rPr>
          <w:rFonts w:ascii="Times New Roman" w:hAnsi="Times New Roman"/>
          <w:sz w:val="24"/>
        </w:rPr>
        <w:t xml:space="preserve">Met deze wijziging wordt artikel 267 </w:t>
      </w:r>
      <w:r w:rsidR="00DA6250">
        <w:rPr>
          <w:rFonts w:ascii="Times New Roman" w:hAnsi="Times New Roman"/>
          <w:sz w:val="24"/>
        </w:rPr>
        <w:t>Sr</w:t>
      </w:r>
      <w:r>
        <w:rPr>
          <w:rFonts w:ascii="Times New Roman" w:hAnsi="Times New Roman"/>
          <w:sz w:val="24"/>
        </w:rPr>
        <w:t xml:space="preserve"> aangepast aan het vervallen van de artikelen 118 en 119 </w:t>
      </w:r>
      <w:r w:rsidR="00DA6250">
        <w:rPr>
          <w:rFonts w:ascii="Times New Roman" w:hAnsi="Times New Roman"/>
          <w:sz w:val="24"/>
        </w:rPr>
        <w:t xml:space="preserve">Sr. Voorts wordt het onderdeel met betrekking tot belediging van </w:t>
      </w:r>
      <w:r w:rsidR="00DA6250" w:rsidRPr="00DA6250">
        <w:rPr>
          <w:rFonts w:ascii="Times New Roman" w:hAnsi="Times New Roman"/>
          <w:sz w:val="24"/>
        </w:rPr>
        <w:t>het openbaar gezag, een openbaar lichaam</w:t>
      </w:r>
      <w:r w:rsidR="00DA6250">
        <w:rPr>
          <w:rFonts w:ascii="Times New Roman" w:hAnsi="Times New Roman"/>
          <w:sz w:val="24"/>
        </w:rPr>
        <w:t xml:space="preserve"> of een openbare instelling geschrapt</w:t>
      </w:r>
      <w:r w:rsidR="004851B4">
        <w:rPr>
          <w:rFonts w:ascii="Times New Roman" w:hAnsi="Times New Roman"/>
          <w:sz w:val="24"/>
        </w:rPr>
        <w:t xml:space="preserve">. </w:t>
      </w:r>
    </w:p>
    <w:p w:rsidR="00DA6250" w:rsidRDefault="00205074" w:rsidP="00DA6250">
      <w:pPr>
        <w:rPr>
          <w:rFonts w:ascii="Times New Roman" w:hAnsi="Times New Roman"/>
          <w:sz w:val="24"/>
        </w:rPr>
      </w:pPr>
      <w:r>
        <w:rPr>
          <w:rFonts w:ascii="Times New Roman" w:hAnsi="Times New Roman"/>
          <w:sz w:val="24"/>
        </w:rPr>
        <w:t xml:space="preserve">In het tweede lid wordt </w:t>
      </w:r>
      <w:r w:rsidR="00B25CF2">
        <w:rPr>
          <w:rFonts w:ascii="Times New Roman" w:hAnsi="Times New Roman"/>
          <w:sz w:val="24"/>
        </w:rPr>
        <w:t xml:space="preserve">het begrip ‘ambtenaar’ beperkt tot de ambtenaren waarop </w:t>
      </w:r>
      <w:r w:rsidR="00AF259D">
        <w:rPr>
          <w:rFonts w:ascii="Times New Roman" w:hAnsi="Times New Roman"/>
          <w:sz w:val="24"/>
        </w:rPr>
        <w:t xml:space="preserve">in beginsel </w:t>
      </w:r>
      <w:r w:rsidR="00B25CF2">
        <w:rPr>
          <w:rFonts w:ascii="Times New Roman" w:hAnsi="Times New Roman"/>
          <w:sz w:val="24"/>
        </w:rPr>
        <w:t>titel III van de Ambtenarenwet van toepassing is</w:t>
      </w:r>
      <w:r w:rsidR="00D23954">
        <w:rPr>
          <w:rFonts w:ascii="Times New Roman" w:hAnsi="Times New Roman"/>
          <w:sz w:val="24"/>
        </w:rPr>
        <w:t>, alsmede militaire ambtenaren</w:t>
      </w:r>
      <w:r w:rsidR="00B25CF2">
        <w:rPr>
          <w:rFonts w:ascii="Times New Roman" w:hAnsi="Times New Roman"/>
          <w:sz w:val="24"/>
        </w:rPr>
        <w:t xml:space="preserve">. Voorts wordt </w:t>
      </w:r>
      <w:r>
        <w:rPr>
          <w:rFonts w:ascii="Times New Roman" w:hAnsi="Times New Roman"/>
          <w:sz w:val="24"/>
        </w:rPr>
        <w:t xml:space="preserve">een uitzondering gemaakt op de toepasselijkheid van artikel 84, eerste lid, Sr, </w:t>
      </w:r>
      <w:r w:rsidR="00B25CF2">
        <w:rPr>
          <w:rFonts w:ascii="Times New Roman" w:hAnsi="Times New Roman"/>
          <w:sz w:val="24"/>
        </w:rPr>
        <w:t>w</w:t>
      </w:r>
      <w:r>
        <w:rPr>
          <w:rFonts w:ascii="Times New Roman" w:hAnsi="Times New Roman"/>
          <w:sz w:val="24"/>
        </w:rPr>
        <w:t>aarin leden van algemeen vertegenwoordigende organen worden gelijkgesteld met ambtenaren.</w:t>
      </w:r>
      <w:r w:rsidR="00B25CF2">
        <w:rPr>
          <w:rFonts w:ascii="Times New Roman" w:hAnsi="Times New Roman"/>
          <w:sz w:val="24"/>
        </w:rPr>
        <w:t xml:space="preserve"> </w:t>
      </w:r>
    </w:p>
    <w:p w:rsidR="0094058F" w:rsidRPr="004F40C8" w:rsidRDefault="0094058F" w:rsidP="00C71E97">
      <w:pPr>
        <w:rPr>
          <w:rFonts w:ascii="Times New Roman" w:hAnsi="Times New Roman"/>
          <w:sz w:val="24"/>
        </w:rPr>
      </w:pPr>
    </w:p>
    <w:p w:rsidR="0094058F" w:rsidRDefault="0094058F" w:rsidP="00C71E97">
      <w:pPr>
        <w:rPr>
          <w:rFonts w:ascii="Times New Roman" w:hAnsi="Times New Roman"/>
          <w:i/>
          <w:sz w:val="24"/>
        </w:rPr>
      </w:pPr>
      <w:r>
        <w:rPr>
          <w:rFonts w:ascii="Times New Roman" w:hAnsi="Times New Roman"/>
          <w:i/>
          <w:sz w:val="24"/>
        </w:rPr>
        <w:t>Onderdeel F</w:t>
      </w:r>
    </w:p>
    <w:p w:rsidR="0094058F" w:rsidRDefault="0094058F" w:rsidP="00C71E97">
      <w:pPr>
        <w:rPr>
          <w:rFonts w:ascii="Times New Roman" w:hAnsi="Times New Roman"/>
          <w:i/>
          <w:sz w:val="24"/>
        </w:rPr>
      </w:pPr>
    </w:p>
    <w:p w:rsidR="0094058F" w:rsidRPr="00DA6250" w:rsidRDefault="00D4035D" w:rsidP="00C71E97">
      <w:pPr>
        <w:rPr>
          <w:rFonts w:ascii="Times New Roman" w:hAnsi="Times New Roman"/>
          <w:sz w:val="24"/>
        </w:rPr>
      </w:pPr>
      <w:r>
        <w:rPr>
          <w:rFonts w:ascii="Times New Roman" w:hAnsi="Times New Roman"/>
          <w:sz w:val="24"/>
        </w:rPr>
        <w:t>Deze wijziging is nodig in verband met de voorgestelde wijziging van artikel 267 Sr.</w:t>
      </w:r>
    </w:p>
    <w:p w:rsidR="00252FD2" w:rsidRDefault="00252FD2" w:rsidP="005D44DE">
      <w:pPr>
        <w:rPr>
          <w:rFonts w:ascii="Times New Roman" w:hAnsi="Times New Roman"/>
          <w:sz w:val="24"/>
        </w:rPr>
      </w:pPr>
    </w:p>
    <w:p w:rsidR="00252FD2" w:rsidRDefault="00252FD2" w:rsidP="005D44DE">
      <w:pPr>
        <w:rPr>
          <w:rFonts w:ascii="Times New Roman" w:hAnsi="Times New Roman"/>
          <w:sz w:val="24"/>
        </w:rPr>
      </w:pPr>
      <w:r>
        <w:rPr>
          <w:rFonts w:ascii="Times New Roman" w:hAnsi="Times New Roman"/>
          <w:sz w:val="24"/>
        </w:rPr>
        <w:t>ARTIKEL II</w:t>
      </w:r>
    </w:p>
    <w:p w:rsidR="00252FD2" w:rsidRDefault="00252FD2" w:rsidP="005D44DE">
      <w:pPr>
        <w:rPr>
          <w:rFonts w:ascii="Times New Roman" w:hAnsi="Times New Roman"/>
          <w:sz w:val="24"/>
        </w:rPr>
      </w:pPr>
    </w:p>
    <w:p w:rsidR="00252FD2" w:rsidRDefault="00252FD2" w:rsidP="005D44DE">
      <w:pPr>
        <w:rPr>
          <w:rFonts w:ascii="Times New Roman" w:hAnsi="Times New Roman"/>
          <w:sz w:val="24"/>
        </w:rPr>
      </w:pPr>
      <w:r>
        <w:rPr>
          <w:rFonts w:ascii="Times New Roman" w:hAnsi="Times New Roman"/>
          <w:sz w:val="24"/>
        </w:rPr>
        <w:t>De in het Wetboek van Strafrecht BES voorgestelde wijzigingen komen overeen met de in artikel I voorgestelde wijzigingen van het Wetboek van Strafrecht.</w:t>
      </w:r>
      <w:r w:rsidR="00363366">
        <w:rPr>
          <w:rFonts w:ascii="Times New Roman" w:hAnsi="Times New Roman"/>
          <w:sz w:val="24"/>
        </w:rPr>
        <w:t xml:space="preserve"> De in het algemeen deel van deze memorie van toelichting gegeven motivering geldt gelijkelijk voor Europees Nederland en voor de BES-eilanden.</w:t>
      </w:r>
    </w:p>
    <w:p w:rsidR="00A84361" w:rsidRDefault="00A84361" w:rsidP="005D44DE">
      <w:pPr>
        <w:rPr>
          <w:rFonts w:ascii="Times New Roman" w:hAnsi="Times New Roman"/>
          <w:sz w:val="24"/>
        </w:rPr>
      </w:pPr>
    </w:p>
    <w:p w:rsidR="00A84361" w:rsidRDefault="00A84361" w:rsidP="005D44DE">
      <w:pPr>
        <w:rPr>
          <w:rFonts w:ascii="Times New Roman" w:hAnsi="Times New Roman"/>
          <w:sz w:val="24"/>
        </w:rPr>
      </w:pPr>
      <w:r>
        <w:rPr>
          <w:rFonts w:ascii="Times New Roman" w:hAnsi="Times New Roman"/>
          <w:sz w:val="24"/>
        </w:rPr>
        <w:t>ARTIKEL III</w:t>
      </w:r>
    </w:p>
    <w:p w:rsidR="00A84361" w:rsidRDefault="00A84361" w:rsidP="005D44DE">
      <w:pPr>
        <w:rPr>
          <w:rFonts w:ascii="Times New Roman" w:hAnsi="Times New Roman"/>
          <w:sz w:val="24"/>
        </w:rPr>
      </w:pPr>
    </w:p>
    <w:p w:rsidR="00A84361" w:rsidRDefault="0094058F" w:rsidP="005D44DE">
      <w:pPr>
        <w:rPr>
          <w:rFonts w:ascii="Times New Roman" w:hAnsi="Times New Roman"/>
          <w:sz w:val="24"/>
        </w:rPr>
      </w:pPr>
      <w:r>
        <w:rPr>
          <w:rFonts w:ascii="Times New Roman" w:hAnsi="Times New Roman"/>
          <w:sz w:val="24"/>
        </w:rPr>
        <w:t>De voorgestelde wijziging van de Wet militair tuchtrecht komt overeen met de in artikel I, onder E, voorgestelde wijziging van artikel 267 Wetboek van Strafrecht.</w:t>
      </w:r>
    </w:p>
    <w:p w:rsidR="0094058F" w:rsidRDefault="0094058F" w:rsidP="005D44DE">
      <w:pPr>
        <w:rPr>
          <w:rFonts w:ascii="Times New Roman" w:hAnsi="Times New Roman"/>
          <w:sz w:val="24"/>
        </w:rPr>
      </w:pPr>
    </w:p>
    <w:p w:rsidR="00A84361" w:rsidRDefault="00A84361" w:rsidP="005D44DE">
      <w:pPr>
        <w:rPr>
          <w:rFonts w:ascii="Times New Roman" w:hAnsi="Times New Roman"/>
          <w:sz w:val="24"/>
        </w:rPr>
      </w:pPr>
      <w:r>
        <w:rPr>
          <w:rFonts w:ascii="Times New Roman" w:hAnsi="Times New Roman"/>
          <w:sz w:val="24"/>
        </w:rPr>
        <w:t>ARTIKEL IV</w:t>
      </w:r>
    </w:p>
    <w:p w:rsidR="0094058F" w:rsidRDefault="0094058F" w:rsidP="005D44DE">
      <w:pPr>
        <w:rPr>
          <w:rFonts w:ascii="Times New Roman" w:hAnsi="Times New Roman"/>
          <w:sz w:val="24"/>
        </w:rPr>
      </w:pPr>
    </w:p>
    <w:p w:rsidR="0094058F" w:rsidRDefault="0094058F" w:rsidP="005D44DE">
      <w:pPr>
        <w:rPr>
          <w:rFonts w:ascii="Times New Roman" w:hAnsi="Times New Roman"/>
          <w:sz w:val="24"/>
        </w:rPr>
      </w:pPr>
      <w:r>
        <w:rPr>
          <w:rFonts w:ascii="Times New Roman" w:hAnsi="Times New Roman"/>
          <w:sz w:val="24"/>
        </w:rPr>
        <w:t xml:space="preserve">De voorgestelde wijziging van de Uitleveringswet </w:t>
      </w:r>
      <w:r w:rsidRPr="0094058F">
        <w:rPr>
          <w:rFonts w:ascii="Times New Roman" w:hAnsi="Times New Roman"/>
          <w:sz w:val="24"/>
        </w:rPr>
        <w:t>kom</w:t>
      </w:r>
      <w:r>
        <w:rPr>
          <w:rFonts w:ascii="Times New Roman" w:hAnsi="Times New Roman"/>
          <w:sz w:val="24"/>
        </w:rPr>
        <w:t>t</w:t>
      </w:r>
      <w:r w:rsidRPr="0094058F">
        <w:rPr>
          <w:rFonts w:ascii="Times New Roman" w:hAnsi="Times New Roman"/>
          <w:sz w:val="24"/>
        </w:rPr>
        <w:t xml:space="preserve"> overeen met de in artikel I</w:t>
      </w:r>
      <w:r>
        <w:rPr>
          <w:rFonts w:ascii="Times New Roman" w:hAnsi="Times New Roman"/>
          <w:sz w:val="24"/>
        </w:rPr>
        <w:t>, onder D,</w:t>
      </w:r>
      <w:r w:rsidRPr="0094058F">
        <w:rPr>
          <w:rFonts w:ascii="Times New Roman" w:hAnsi="Times New Roman"/>
          <w:sz w:val="24"/>
        </w:rPr>
        <w:t xml:space="preserve"> voorgestelde wijziging van het Wetboek van Strafrecht.</w:t>
      </w:r>
    </w:p>
    <w:p w:rsidR="0094058F" w:rsidRDefault="0094058F" w:rsidP="005D44DE">
      <w:pPr>
        <w:rPr>
          <w:rFonts w:ascii="Times New Roman" w:hAnsi="Times New Roman"/>
          <w:sz w:val="24"/>
        </w:rPr>
      </w:pPr>
    </w:p>
    <w:p w:rsidR="0094058F" w:rsidRDefault="0094058F" w:rsidP="005D44DE">
      <w:pPr>
        <w:rPr>
          <w:rFonts w:ascii="Times New Roman" w:hAnsi="Times New Roman"/>
          <w:sz w:val="24"/>
        </w:rPr>
      </w:pPr>
    </w:p>
    <w:p w:rsidR="0094058F" w:rsidRDefault="0094058F" w:rsidP="005D44DE">
      <w:pPr>
        <w:rPr>
          <w:rFonts w:ascii="Times New Roman" w:hAnsi="Times New Roman"/>
          <w:sz w:val="24"/>
        </w:rPr>
      </w:pPr>
      <w:r>
        <w:rPr>
          <w:rFonts w:ascii="Times New Roman" w:hAnsi="Times New Roman"/>
          <w:sz w:val="24"/>
        </w:rPr>
        <w:t>Verhoeven</w:t>
      </w:r>
    </w:p>
    <w:p w:rsidR="0094058F" w:rsidRDefault="0094058F" w:rsidP="005D44DE">
      <w:pPr>
        <w:rPr>
          <w:rFonts w:ascii="Times New Roman" w:hAnsi="Times New Roman"/>
          <w:sz w:val="24"/>
        </w:rPr>
      </w:pPr>
    </w:p>
    <w:p w:rsidR="0094058F" w:rsidRDefault="0094058F" w:rsidP="005D44DE">
      <w:pPr>
        <w:rPr>
          <w:rFonts w:ascii="Times New Roman" w:hAnsi="Times New Roman"/>
          <w:sz w:val="24"/>
        </w:rPr>
      </w:pPr>
    </w:p>
    <w:sectPr w:rsidR="0094058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05" w:rsidRDefault="00C71505" w:rsidP="004A1E4C">
      <w:r>
        <w:separator/>
      </w:r>
    </w:p>
  </w:endnote>
  <w:endnote w:type="continuationSeparator" w:id="0">
    <w:p w:rsidR="00C71505" w:rsidRDefault="00C71505" w:rsidP="004A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36467"/>
      <w:docPartObj>
        <w:docPartGallery w:val="Page Numbers (Bottom of Page)"/>
        <w:docPartUnique/>
      </w:docPartObj>
    </w:sdtPr>
    <w:sdtEndPr/>
    <w:sdtContent>
      <w:p w:rsidR="00547FA9" w:rsidRDefault="00547FA9">
        <w:pPr>
          <w:pStyle w:val="Voettekst"/>
          <w:jc w:val="center"/>
        </w:pPr>
        <w:r>
          <w:fldChar w:fldCharType="begin"/>
        </w:r>
        <w:r>
          <w:instrText>PAGE   \* MERGEFORMAT</w:instrText>
        </w:r>
        <w:r>
          <w:fldChar w:fldCharType="separate"/>
        </w:r>
        <w:r w:rsidR="00F32A31">
          <w:rPr>
            <w:noProof/>
          </w:rPr>
          <w:t>1</w:t>
        </w:r>
        <w:r>
          <w:fldChar w:fldCharType="end"/>
        </w:r>
      </w:p>
    </w:sdtContent>
  </w:sdt>
  <w:p w:rsidR="00547FA9" w:rsidRDefault="00547F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05" w:rsidRDefault="00C71505" w:rsidP="004A1E4C">
      <w:r>
        <w:separator/>
      </w:r>
    </w:p>
  </w:footnote>
  <w:footnote w:type="continuationSeparator" w:id="0">
    <w:p w:rsidR="00C71505" w:rsidRDefault="00C71505" w:rsidP="004A1E4C">
      <w:r>
        <w:continuationSeparator/>
      </w:r>
    </w:p>
  </w:footnote>
  <w:footnote w:id="1">
    <w:p w:rsidR="00311FCB" w:rsidRDefault="00311FCB">
      <w:pPr>
        <w:pStyle w:val="Voetnoottekst"/>
      </w:pPr>
      <w:r>
        <w:rPr>
          <w:rStyle w:val="Voetnootmarkering"/>
        </w:rPr>
        <w:footnoteRef/>
      </w:r>
      <w:r>
        <w:t xml:space="preserve"> “Het delict </w:t>
      </w:r>
      <w:r w:rsidR="00745B98">
        <w:t>‘</w:t>
      </w:r>
      <w:r>
        <w:t>majesteitsschennis</w:t>
      </w:r>
      <w:r w:rsidR="00745B98">
        <w:t xml:space="preserve">’ vertoonde in een ver verleden dan ook een duidelijke verwantschap met opruiing. Viel men de koning af, dan viel men de grondslagen van het staatsbestel aan, en predikte men eigenlijk al de opstand”. </w:t>
      </w:r>
      <w:r>
        <w:t xml:space="preserve">A. Nieuwenhuis, </w:t>
      </w:r>
      <w:r w:rsidRPr="00745B98">
        <w:rPr>
          <w:i/>
        </w:rPr>
        <w:t>De geschonden majesteit</w:t>
      </w:r>
      <w:r w:rsidR="00745B98">
        <w:t>, Ars Aequi januari 2016, blz. 21-24.</w:t>
      </w:r>
    </w:p>
  </w:footnote>
  <w:footnote w:id="2">
    <w:p w:rsidR="00F33A35" w:rsidRDefault="00F33A35" w:rsidP="00F33A35">
      <w:pPr>
        <w:pStyle w:val="Voetnoottekst"/>
      </w:pPr>
      <w:r>
        <w:rPr>
          <w:rStyle w:val="Voetnootmarkering"/>
        </w:rPr>
        <w:footnoteRef/>
      </w:r>
      <w:r>
        <w:t xml:space="preserve"> Zie voor meer voorbeelden </w:t>
      </w:r>
      <w:r w:rsidRPr="000614DF">
        <w:t>Noyon/Langemeijer</w:t>
      </w:r>
      <w:r w:rsidR="00601A5A">
        <w:t xml:space="preserve"> &amp; </w:t>
      </w:r>
      <w:r w:rsidRPr="000614DF">
        <w:t>Remmelink</w:t>
      </w:r>
      <w:r>
        <w:t>,</w:t>
      </w:r>
      <w:r w:rsidRPr="000614DF">
        <w:t xml:space="preserve"> </w:t>
      </w:r>
      <w:r w:rsidR="00B56A5A" w:rsidRPr="00B56A5A">
        <w:rPr>
          <w:i/>
        </w:rPr>
        <w:t xml:space="preserve">Wetboek van </w:t>
      </w:r>
      <w:r w:rsidRPr="00B56A5A">
        <w:rPr>
          <w:i/>
        </w:rPr>
        <w:t>Strafrecht</w:t>
      </w:r>
      <w:r w:rsidRPr="000614DF">
        <w:t>, artikel 111 Sr, aant. 4</w:t>
      </w:r>
      <w:r w:rsidR="00221D19">
        <w:t xml:space="preserve">. </w:t>
      </w:r>
    </w:p>
  </w:footnote>
  <w:footnote w:id="3">
    <w:p w:rsidR="00B06CCB" w:rsidRDefault="00B06CCB" w:rsidP="00B06CCB">
      <w:pPr>
        <w:pStyle w:val="Voetnoottekst"/>
      </w:pPr>
      <w:r>
        <w:rPr>
          <w:rStyle w:val="Voetnootmarkering"/>
        </w:rPr>
        <w:footnoteRef/>
      </w:r>
      <w:r>
        <w:t xml:space="preserve"> </w:t>
      </w:r>
      <w:r w:rsidRPr="00745B98">
        <w:t>Noyon/Langemeijer</w:t>
      </w:r>
      <w:r w:rsidR="00601A5A">
        <w:t xml:space="preserve"> &amp; </w:t>
      </w:r>
      <w:r w:rsidRPr="00745B98">
        <w:t>Remmelink</w:t>
      </w:r>
      <w:r>
        <w:t>, a.w.</w:t>
      </w:r>
    </w:p>
  </w:footnote>
  <w:footnote w:id="4">
    <w:p w:rsidR="008240FD" w:rsidRDefault="008240FD">
      <w:pPr>
        <w:pStyle w:val="Voetnoottekst"/>
      </w:pPr>
      <w:r>
        <w:rPr>
          <w:rStyle w:val="Voetnootmarkering"/>
        </w:rPr>
        <w:footnoteRef/>
      </w:r>
      <w:r>
        <w:t xml:space="preserve"> </w:t>
      </w:r>
      <w:r w:rsidR="00311FCB" w:rsidRPr="00311FCB">
        <w:t xml:space="preserve">Zoals de boete van 200 gulden </w:t>
      </w:r>
      <w:r w:rsidR="00311FCB">
        <w:t xml:space="preserve">voor het verspreiden van een spotprent van </w:t>
      </w:r>
      <w:r w:rsidR="00311FCB" w:rsidRPr="00311FCB">
        <w:t xml:space="preserve"> de tekenaar Bernard </w:t>
      </w:r>
      <w:r w:rsidR="003208E7">
        <w:t>‘</w:t>
      </w:r>
      <w:r w:rsidR="00311FCB" w:rsidRPr="00311FCB">
        <w:t>Willem</w:t>
      </w:r>
      <w:r w:rsidR="003208E7">
        <w:t>’</w:t>
      </w:r>
      <w:r w:rsidR="00311FCB" w:rsidRPr="00311FCB">
        <w:t xml:space="preserve"> Holtrop – later werkzaam voor “Charlie Hebdo” –</w:t>
      </w:r>
      <w:r w:rsidR="00311FCB">
        <w:t xml:space="preserve"> </w:t>
      </w:r>
      <w:r w:rsidR="00311FCB" w:rsidRPr="00311FCB">
        <w:t>over het salaris van de toenmalige Koningin Juliana</w:t>
      </w:r>
      <w:r w:rsidR="00311FCB">
        <w:t>. D</w:t>
      </w:r>
      <w:r w:rsidR="003208E7">
        <w:t>e</w:t>
      </w:r>
      <w:r w:rsidR="00311FCB">
        <w:t xml:space="preserve"> tekenaar werd vrijgesproken. </w:t>
      </w:r>
      <w:r w:rsidR="009856B5">
        <w:t>Hof Amsterdam 24 februari 1967.</w:t>
      </w:r>
    </w:p>
  </w:footnote>
  <w:footnote w:id="5">
    <w:p w:rsidR="008D564E" w:rsidRDefault="008D564E">
      <w:pPr>
        <w:pStyle w:val="Voetnoottekst"/>
      </w:pPr>
      <w:r>
        <w:rPr>
          <w:rStyle w:val="Voetnootmarkering"/>
        </w:rPr>
        <w:footnoteRef/>
      </w:r>
      <w:r>
        <w:t xml:space="preserve"> U</w:t>
      </w:r>
      <w:r w:rsidRPr="008D564E">
        <w:t>it een inventarisatie die het Centraal Bureau voor de Statistiek (CBS) in 2012 maakte op verzoek van NRC Handelsblad</w:t>
      </w:r>
      <w:r>
        <w:t xml:space="preserve"> </w:t>
      </w:r>
      <w:r w:rsidRPr="008D564E">
        <w:t>werden</w:t>
      </w:r>
      <w:r>
        <w:t xml:space="preserve"> t</w:t>
      </w:r>
      <w:r w:rsidRPr="008D564E">
        <w:t xml:space="preserve">ussen 2000 en 2012 </w:t>
      </w:r>
      <w:r>
        <w:t>19</w:t>
      </w:r>
      <w:r w:rsidRPr="008D564E">
        <w:t xml:space="preserve"> zaken door het OM ingeschreven. Bijna de helft daarvan leidde tot een veroordeling. Het gaat om vijf geldboetes, drie (deels) onvoorwaardelijke gevangenisstraffen en één veroordeling in de categorie ‘overige straf’.</w:t>
      </w:r>
    </w:p>
  </w:footnote>
  <w:footnote w:id="6">
    <w:p w:rsidR="007F7648" w:rsidRDefault="007F7648" w:rsidP="007F7648">
      <w:pPr>
        <w:pStyle w:val="Voetnoottekst"/>
      </w:pPr>
      <w:r>
        <w:rPr>
          <w:rStyle w:val="Voetnootmarkering"/>
        </w:rPr>
        <w:footnoteRef/>
      </w:r>
      <w:r>
        <w:t xml:space="preserve"> “</w:t>
      </w:r>
      <w:r w:rsidRPr="004B7579">
        <w:t>Aangenomen moet worden dat de in de art. 111 en 112 Sr bedoelde personen in meerdere mate tegen belediging beschermd dienen te worden dan anderen</w:t>
      </w:r>
      <w:r>
        <w:t xml:space="preserve">”. </w:t>
      </w:r>
      <w:r w:rsidRPr="00243554">
        <w:t xml:space="preserve">HR 19 april 2005, JOL 2005, 242, </w:t>
      </w:r>
      <w:r>
        <w:t>ECLI:NL:HR:2005:AR7256.</w:t>
      </w:r>
    </w:p>
  </w:footnote>
  <w:footnote w:id="7">
    <w:p w:rsidR="007F7648" w:rsidRDefault="007F7648" w:rsidP="007F7648">
      <w:pPr>
        <w:pStyle w:val="Voetnoottekst"/>
      </w:pPr>
      <w:r>
        <w:rPr>
          <w:rStyle w:val="Voetnootmarkering"/>
        </w:rPr>
        <w:footnoteRef/>
      </w:r>
      <w:r>
        <w:t xml:space="preserve"> Gerechtshof Amsterdam </w:t>
      </w:r>
      <w:r w:rsidRPr="004B7579">
        <w:t>22 september 2003</w:t>
      </w:r>
      <w:r>
        <w:t>,</w:t>
      </w:r>
      <w:r w:rsidRPr="004B7579">
        <w:t xml:space="preserve"> ECLI:NL:GHAMS:2003:AM2717</w:t>
      </w:r>
      <w:r>
        <w:t>.</w:t>
      </w:r>
    </w:p>
  </w:footnote>
  <w:footnote w:id="8">
    <w:p w:rsidR="007F7648" w:rsidRDefault="007F7648" w:rsidP="007F7648">
      <w:pPr>
        <w:pStyle w:val="Voetnoottekst"/>
      </w:pPr>
      <w:r>
        <w:rPr>
          <w:rStyle w:val="Voetnootmarkering"/>
        </w:rPr>
        <w:footnoteRef/>
      </w:r>
      <w:r>
        <w:t xml:space="preserve"> </w:t>
      </w:r>
      <w:r w:rsidRPr="00243554">
        <w:t>Rb. ’s-Gravenhage 9 december 2011, LJN BU7420</w:t>
      </w:r>
      <w:r>
        <w:t>;</w:t>
      </w:r>
      <w:r w:rsidRPr="00F36A78">
        <w:t xml:space="preserve"> </w:t>
      </w:r>
      <w:r w:rsidRPr="00243554">
        <w:t xml:space="preserve">Hof Amsterdam 29 maart 2003, NbSr 2004, 161, </w:t>
      </w:r>
      <w:r w:rsidRPr="009A7FEB">
        <w:t>ECLI:NL:GHAMS:2004:AO6964</w:t>
      </w:r>
      <w:r>
        <w:t>.</w:t>
      </w:r>
    </w:p>
  </w:footnote>
  <w:footnote w:id="9">
    <w:p w:rsidR="007F7648" w:rsidRDefault="007F7648" w:rsidP="007F7648">
      <w:pPr>
        <w:pStyle w:val="Voetnoottekst"/>
      </w:pPr>
      <w:r>
        <w:rPr>
          <w:rStyle w:val="Voetnootmarkering"/>
        </w:rPr>
        <w:footnoteRef/>
      </w:r>
      <w:r>
        <w:t xml:space="preserve"> Rechtbank Amsterdam </w:t>
      </w:r>
      <w:r w:rsidRPr="00177012">
        <w:t>30</w:t>
      </w:r>
      <w:r>
        <w:t xml:space="preserve"> juli 2007, </w:t>
      </w:r>
      <w:r w:rsidRPr="00177012">
        <w:t>ECLI:NL:RBAMS:2007:BB1044</w:t>
      </w:r>
      <w:r>
        <w:t>.</w:t>
      </w:r>
    </w:p>
  </w:footnote>
  <w:footnote w:id="10">
    <w:p w:rsidR="008D57E6" w:rsidRDefault="008D57E6">
      <w:pPr>
        <w:pStyle w:val="Voetnoottekst"/>
      </w:pPr>
      <w:r>
        <w:rPr>
          <w:rStyle w:val="Voetnootmarkering"/>
        </w:rPr>
        <w:footnoteRef/>
      </w:r>
      <w:r>
        <w:t xml:space="preserve"> Dat blijkt hij ook goed te kunnen als eiser in civielrechtelijke rechtsgedingen. Zie paragraaf</w:t>
      </w:r>
      <w:r w:rsidR="004C201B">
        <w:t xml:space="preserve"> 4.1.</w:t>
      </w:r>
    </w:p>
  </w:footnote>
  <w:footnote w:id="11">
    <w:p w:rsidR="00AE7AD5" w:rsidRDefault="00AE7AD5">
      <w:pPr>
        <w:pStyle w:val="Voetnoottekst"/>
      </w:pPr>
      <w:r>
        <w:rPr>
          <w:rStyle w:val="Voetnootmarkering"/>
        </w:rPr>
        <w:footnoteRef/>
      </w:r>
      <w:r>
        <w:t xml:space="preserve"> Zoals hoge bomen veel winden vangen, zo vangen klankborden veelsoortige geluiden op. “De koning heeft een klankbordrol in ons staatsbestel”, aldus Minister van BZK Plasterk in De Volkskrant van 1 april 2016.</w:t>
      </w:r>
    </w:p>
  </w:footnote>
  <w:footnote w:id="12">
    <w:p w:rsidR="00847059" w:rsidRDefault="00847059">
      <w:pPr>
        <w:pStyle w:val="Voetnoottekst"/>
      </w:pPr>
      <w:r>
        <w:rPr>
          <w:rStyle w:val="Voetnootmarkering"/>
        </w:rPr>
        <w:footnoteRef/>
      </w:r>
      <w:r>
        <w:t xml:space="preserve"> Zie hierover A.J. Nieuwenhuis en A.L.M.A. Janssens, </w:t>
      </w:r>
      <w:r w:rsidRPr="00847059">
        <w:rPr>
          <w:i/>
        </w:rPr>
        <w:t>Uitingsdelicten</w:t>
      </w:r>
      <w:r>
        <w:t xml:space="preserve"> (SSR nr.16) 2011/3.11.6.</w:t>
      </w:r>
    </w:p>
  </w:footnote>
  <w:footnote w:id="13">
    <w:p w:rsidR="00525193" w:rsidRPr="0057590A" w:rsidRDefault="00525193" w:rsidP="00525193">
      <w:pPr>
        <w:pStyle w:val="Voetnoottekst"/>
        <w:jc w:val="both"/>
        <w:rPr>
          <w:lang w:val="en-US"/>
        </w:rPr>
      </w:pPr>
      <w:r w:rsidRPr="00B7558D">
        <w:rPr>
          <w:rStyle w:val="Voetnootmarkering"/>
          <w:rFonts w:ascii="Calibri" w:hAnsi="Calibri" w:cs="Calibri"/>
        </w:rPr>
        <w:footnoteRef/>
      </w:r>
      <w:r w:rsidRPr="007D18C8">
        <w:rPr>
          <w:rFonts w:ascii="Calibri" w:hAnsi="Calibri" w:cs="Calibri"/>
          <w:lang w:val="en-US"/>
        </w:rPr>
        <w:t xml:space="preserve"> </w:t>
      </w:r>
      <w:r w:rsidRPr="0057590A">
        <w:rPr>
          <w:szCs w:val="16"/>
          <w:lang w:val="en-US"/>
        </w:rPr>
        <w:t>EHRM 7 december 1976, nr. 5493/72 (</w:t>
      </w:r>
      <w:r w:rsidRPr="0057590A">
        <w:rPr>
          <w:i/>
          <w:szCs w:val="16"/>
          <w:lang w:val="en-US"/>
        </w:rPr>
        <w:t>Handyside</w:t>
      </w:r>
      <w:r w:rsidRPr="0057590A">
        <w:rPr>
          <w:szCs w:val="16"/>
          <w:lang w:val="en-US"/>
        </w:rPr>
        <w:t xml:space="preserve">); EHRM 26 april 1979, nr. </w:t>
      </w:r>
      <w:r w:rsidRPr="0057590A">
        <w:rPr>
          <w:iCs/>
          <w:szCs w:val="16"/>
          <w:lang w:val="en-US"/>
        </w:rPr>
        <w:t>6538/74</w:t>
      </w:r>
      <w:r w:rsidRPr="0057590A">
        <w:rPr>
          <w:i/>
          <w:iCs/>
          <w:szCs w:val="16"/>
          <w:lang w:val="en-US"/>
        </w:rPr>
        <w:t xml:space="preserve"> </w:t>
      </w:r>
      <w:r w:rsidRPr="0057590A">
        <w:rPr>
          <w:iCs/>
          <w:szCs w:val="16"/>
          <w:lang w:val="en-US"/>
        </w:rPr>
        <w:t>(</w:t>
      </w:r>
      <w:r w:rsidRPr="0057590A">
        <w:rPr>
          <w:i/>
          <w:iCs/>
          <w:szCs w:val="16"/>
          <w:lang w:val="en-US"/>
        </w:rPr>
        <w:t>Sunday Times</w:t>
      </w:r>
      <w:r w:rsidRPr="0057590A">
        <w:rPr>
          <w:lang w:val="en-US"/>
        </w:rPr>
        <w:t>).</w:t>
      </w:r>
    </w:p>
  </w:footnote>
  <w:footnote w:id="14">
    <w:p w:rsidR="00F56788" w:rsidRPr="002F3EE1" w:rsidRDefault="00F56788" w:rsidP="00F56788">
      <w:pPr>
        <w:pStyle w:val="Voetnoottekst"/>
        <w:jc w:val="both"/>
      </w:pPr>
      <w:r w:rsidRPr="00B7558D">
        <w:rPr>
          <w:rStyle w:val="Voetnootmarkering"/>
          <w:rFonts w:ascii="Calibri" w:hAnsi="Calibri" w:cs="Calibri"/>
        </w:rPr>
        <w:footnoteRef/>
      </w:r>
      <w:r w:rsidRPr="00B7558D">
        <w:rPr>
          <w:rFonts w:ascii="Calibri" w:hAnsi="Calibri" w:cs="Calibri"/>
        </w:rPr>
        <w:t xml:space="preserve"> </w:t>
      </w:r>
      <w:r w:rsidRPr="002F3EE1">
        <w:t>EHRM 8 juli 1986, nr. 9815/82 (</w:t>
      </w:r>
      <w:r w:rsidRPr="002F3EE1">
        <w:rPr>
          <w:i/>
        </w:rPr>
        <w:t>Lingens</w:t>
      </w:r>
      <w:r>
        <w:rPr>
          <w:i/>
        </w:rPr>
        <w:t xml:space="preserve"> t. Oostenrijk</w:t>
      </w:r>
      <w:r w:rsidRPr="00142DB4">
        <w:t>)</w:t>
      </w:r>
      <w:r w:rsidRPr="00F56788">
        <w:t xml:space="preserve"> </w:t>
      </w:r>
      <w:r>
        <w:t>r.o. 42.</w:t>
      </w:r>
    </w:p>
  </w:footnote>
  <w:footnote w:id="15">
    <w:p w:rsidR="00F56788" w:rsidRPr="002F3EE1" w:rsidRDefault="00F56788" w:rsidP="00F56788">
      <w:pPr>
        <w:pStyle w:val="Voetnoottekst"/>
        <w:jc w:val="both"/>
      </w:pPr>
      <w:r w:rsidRPr="002F3EE1">
        <w:rPr>
          <w:rStyle w:val="Voetnootmarkering"/>
        </w:rPr>
        <w:footnoteRef/>
      </w:r>
      <w:r w:rsidRPr="002F3EE1">
        <w:t xml:space="preserve"> EHRM 23 mei 1991, nr. 11662/85 (</w:t>
      </w:r>
      <w:r w:rsidRPr="002F3EE1">
        <w:rPr>
          <w:i/>
        </w:rPr>
        <w:t>Oberschlick I</w:t>
      </w:r>
      <w:r w:rsidRPr="002F3EE1">
        <w:t>); EHRM 1 juli 1997, nr. 20834/92 (</w:t>
      </w:r>
      <w:r w:rsidRPr="002F3EE1">
        <w:rPr>
          <w:i/>
        </w:rPr>
        <w:t>Oberschlick II</w:t>
      </w:r>
      <w:r w:rsidRPr="002F3EE1">
        <w:t xml:space="preserve">). Zie ook EHRM 28 augustus 1992, </w:t>
      </w:r>
      <w:r w:rsidRPr="002F3EE1">
        <w:rPr>
          <w:i/>
        </w:rPr>
        <w:t xml:space="preserve">NJ </w:t>
      </w:r>
      <w:r w:rsidRPr="002F3EE1">
        <w:t>1994, 103 (</w:t>
      </w:r>
      <w:r w:rsidRPr="002F3EE1">
        <w:rPr>
          <w:i/>
        </w:rPr>
        <w:t>Schwabe</w:t>
      </w:r>
      <w:r w:rsidRPr="002F3EE1">
        <w:t>); EHRM 29 maart 2005, nr. 72713/01 (</w:t>
      </w:r>
      <w:r w:rsidRPr="002F3EE1">
        <w:rPr>
          <w:i/>
        </w:rPr>
        <w:t>Oekraïense Media Groep</w:t>
      </w:r>
      <w:r w:rsidRPr="002F3EE1">
        <w:t>) en EHRM 26 februari 2002, nr. 34315/96 (</w:t>
      </w:r>
      <w:r w:rsidRPr="002F3EE1">
        <w:rPr>
          <w:i/>
        </w:rPr>
        <w:t>Krone Verlag t. Oostenrijk</w:t>
      </w:r>
      <w:r w:rsidRPr="002F3EE1">
        <w:t>).</w:t>
      </w:r>
    </w:p>
  </w:footnote>
  <w:footnote w:id="16">
    <w:p w:rsidR="00F56788" w:rsidRPr="00142DB4" w:rsidRDefault="00F56788" w:rsidP="00F56788">
      <w:pPr>
        <w:pStyle w:val="Voetnoottekst"/>
      </w:pPr>
      <w:r w:rsidRPr="00142DB4">
        <w:rPr>
          <w:rStyle w:val="Voetnootmarkering"/>
        </w:rPr>
        <w:footnoteRef/>
      </w:r>
      <w:r w:rsidRPr="00142DB4">
        <w:t xml:space="preserve"> EHRM 26 juli 2006, nr. 75510/01 </w:t>
      </w:r>
      <w:r w:rsidRPr="00142DB4">
        <w:rPr>
          <w:i/>
        </w:rPr>
        <w:t>(Artun en Güvener t. Turkije).</w:t>
      </w:r>
    </w:p>
  </w:footnote>
  <w:footnote w:id="17">
    <w:p w:rsidR="00525193" w:rsidRPr="00B55848" w:rsidRDefault="00525193" w:rsidP="00525193">
      <w:pPr>
        <w:pStyle w:val="Voetnoottekst"/>
        <w:rPr>
          <w:i/>
        </w:rPr>
      </w:pPr>
      <w:r>
        <w:rPr>
          <w:rStyle w:val="Voetnootmarkering"/>
        </w:rPr>
        <w:footnoteRef/>
      </w:r>
      <w:r>
        <w:t xml:space="preserve"> EHRM 25 juni 2002, nr. 51279/99 </w:t>
      </w:r>
      <w:r>
        <w:rPr>
          <w:i/>
        </w:rPr>
        <w:t xml:space="preserve">(Colombani e.a. t. Frankrijk) </w:t>
      </w:r>
      <w:r w:rsidRPr="00525193">
        <w:t>r.o. 68 en 69</w:t>
      </w:r>
      <w:r>
        <w:rPr>
          <w:i/>
        </w:rPr>
        <w:t>.</w:t>
      </w:r>
    </w:p>
  </w:footnote>
  <w:footnote w:id="18">
    <w:p w:rsidR="00525193" w:rsidRPr="00AA2D1E" w:rsidRDefault="00525193" w:rsidP="00525193">
      <w:pPr>
        <w:pStyle w:val="Voetnoottekst"/>
        <w:rPr>
          <w:i/>
        </w:rPr>
      </w:pPr>
      <w:r>
        <w:rPr>
          <w:rStyle w:val="Voetnootmarkering"/>
        </w:rPr>
        <w:footnoteRef/>
      </w:r>
      <w:r>
        <w:t xml:space="preserve"> EHRM 15 maart 2011, nr. 2034/07 </w:t>
      </w:r>
      <w:r w:rsidR="00F56788">
        <w:rPr>
          <w:i/>
        </w:rPr>
        <w:t xml:space="preserve">(Otegi Mondragon t. Spanje) </w:t>
      </w:r>
      <w:r w:rsidR="00F56788" w:rsidRPr="00F56788">
        <w:t>r.o. 55.</w:t>
      </w:r>
    </w:p>
  </w:footnote>
  <w:footnote w:id="19">
    <w:p w:rsidR="00A903A9" w:rsidRPr="00142DB4" w:rsidRDefault="00A903A9" w:rsidP="00A903A9">
      <w:pPr>
        <w:pStyle w:val="Voetnoottekst"/>
      </w:pPr>
      <w:r w:rsidRPr="00142DB4">
        <w:rPr>
          <w:rStyle w:val="Voetnootmarkering"/>
        </w:rPr>
        <w:footnoteRef/>
      </w:r>
      <w:r w:rsidRPr="00142DB4">
        <w:t xml:space="preserve"> </w:t>
      </w:r>
      <w:r w:rsidRPr="00547FA9">
        <w:rPr>
          <w:i/>
        </w:rPr>
        <w:t>“Towards decriminalisation of defamation”</w:t>
      </w:r>
      <w:r>
        <w:t xml:space="preserve">, </w:t>
      </w:r>
      <w:r w:rsidRPr="00142DB4">
        <w:t>Resolutie 1577 (2007) van de Parlementaire Vergadering van de Raad van Europa.</w:t>
      </w:r>
    </w:p>
  </w:footnote>
  <w:footnote w:id="20">
    <w:p w:rsidR="00F33A35" w:rsidRPr="00142DB4" w:rsidRDefault="00F33A35" w:rsidP="00CF282F">
      <w:pPr>
        <w:pStyle w:val="Voetnoottekst"/>
      </w:pPr>
      <w:r w:rsidRPr="00142DB4">
        <w:rPr>
          <w:rStyle w:val="Voetnootmarkering"/>
        </w:rPr>
        <w:footnoteRef/>
      </w:r>
      <w:r w:rsidRPr="00142DB4">
        <w:t xml:space="preserve"> CCPR/C/GC/</w:t>
      </w:r>
      <w:r w:rsidR="0021315C">
        <w:t>34 (12 september 2011) para 38.</w:t>
      </w:r>
    </w:p>
  </w:footnote>
  <w:footnote w:id="21">
    <w:p w:rsidR="009856B5" w:rsidRDefault="009856B5">
      <w:pPr>
        <w:pStyle w:val="Voetnoottekst"/>
      </w:pPr>
      <w:r>
        <w:rPr>
          <w:rStyle w:val="Voetnootmarkering"/>
        </w:rPr>
        <w:footnoteRef/>
      </w:r>
      <w:r>
        <w:t xml:space="preserve"> Uitvoeriger hierover: A. Nieuwenhuis</w:t>
      </w:r>
      <w:r w:rsidR="00FA0D5E">
        <w:t>,</w:t>
      </w:r>
      <w:r>
        <w:t xml:space="preserve"> a.w.</w:t>
      </w:r>
      <w:r w:rsidR="008C6E67">
        <w:t>, blz. 21-22.</w:t>
      </w:r>
    </w:p>
  </w:footnote>
  <w:footnote w:id="22">
    <w:p w:rsidR="00B56A5A" w:rsidRDefault="00B56A5A">
      <w:pPr>
        <w:pStyle w:val="Voetnoottekst"/>
      </w:pPr>
      <w:r>
        <w:rPr>
          <w:rStyle w:val="Voetnootmarkering"/>
        </w:rPr>
        <w:footnoteRef/>
      </w:r>
      <w:r>
        <w:t xml:space="preserve"> </w:t>
      </w:r>
      <w:r w:rsidR="00601A5A">
        <w:t xml:space="preserve">Noyon/Langemeijer &amp; </w:t>
      </w:r>
      <w:r w:rsidRPr="00B56A5A">
        <w:t xml:space="preserve">Remmelink, </w:t>
      </w:r>
      <w:r w:rsidR="00F82185">
        <w:t>a.w.</w:t>
      </w:r>
      <w:r w:rsidRPr="00B56A5A">
        <w:t xml:space="preserve">, artikel 111 Sr, aant. </w:t>
      </w:r>
      <w:r>
        <w:t>1a</w:t>
      </w:r>
      <w:r w:rsidRPr="00B56A5A">
        <w:t>.</w:t>
      </w:r>
    </w:p>
  </w:footnote>
  <w:footnote w:id="23">
    <w:p w:rsidR="00CD56C0" w:rsidRDefault="00CD56C0" w:rsidP="00CD56C0">
      <w:pPr>
        <w:pStyle w:val="Voetnoottekst"/>
      </w:pPr>
      <w:r>
        <w:rPr>
          <w:rStyle w:val="Voetnootmarkering"/>
        </w:rPr>
        <w:footnoteRef/>
      </w:r>
      <w:r>
        <w:t xml:space="preserve"> </w:t>
      </w:r>
      <w:r>
        <w:rPr>
          <w:i/>
        </w:rPr>
        <w:t xml:space="preserve">Kamerstukken II </w:t>
      </w:r>
      <w:r>
        <w:t>1970/71, 11 249 nr. 4.</w:t>
      </w:r>
    </w:p>
  </w:footnote>
  <w:footnote w:id="24">
    <w:p w:rsidR="00E61614" w:rsidRDefault="00E61614" w:rsidP="00E61614">
      <w:pPr>
        <w:pStyle w:val="Voetnoottekst"/>
      </w:pPr>
      <w:r>
        <w:rPr>
          <w:rStyle w:val="Voetnootmarkering"/>
        </w:rPr>
        <w:footnoteRef/>
      </w:r>
      <w:r>
        <w:t xml:space="preserve"> Zie voor cijfers hieromtrent </w:t>
      </w:r>
      <w:r w:rsidRPr="00902AF6">
        <w:rPr>
          <w:i/>
        </w:rPr>
        <w:t>Aanhangsel Handelingen II</w:t>
      </w:r>
      <w:r>
        <w:t xml:space="preserve"> </w:t>
      </w:r>
      <w:r w:rsidRPr="00902AF6">
        <w:t>2012</w:t>
      </w:r>
      <w:r>
        <w:t>/</w:t>
      </w:r>
      <w:r w:rsidRPr="00902AF6">
        <w:t>13, nr. 1467.</w:t>
      </w:r>
      <w:r>
        <w:t xml:space="preserve"> Het komt erop neer dat gemiddeld </w:t>
      </w:r>
      <w:r w:rsidRPr="003668F5">
        <w:t xml:space="preserve">één persoon per jaar </w:t>
      </w:r>
      <w:r>
        <w:t xml:space="preserve">wordt </w:t>
      </w:r>
      <w:r w:rsidRPr="003668F5">
        <w:t>ver</w:t>
      </w:r>
      <w:r>
        <w:t>volgd</w:t>
      </w:r>
      <w:r w:rsidRPr="003668F5">
        <w:t xml:space="preserve"> voor het overtreden van de artikelen 111 tot en met 113 </w:t>
      </w:r>
      <w:r>
        <w:t>Sr.</w:t>
      </w:r>
    </w:p>
  </w:footnote>
  <w:footnote w:id="25">
    <w:p w:rsidR="00F33A35" w:rsidRDefault="00F33A35" w:rsidP="00450C79">
      <w:pPr>
        <w:pStyle w:val="Voetnoottekst"/>
      </w:pPr>
      <w:r>
        <w:rPr>
          <w:rStyle w:val="Voetnootmarkering"/>
        </w:rPr>
        <w:footnoteRef/>
      </w:r>
      <w:r>
        <w:t xml:space="preserve"> </w:t>
      </w:r>
      <w:r w:rsidR="00340B37" w:rsidRPr="00340B37">
        <w:rPr>
          <w:i/>
        </w:rPr>
        <w:t>Aanhangsel Handelingen II</w:t>
      </w:r>
      <w:r w:rsidR="00340B37" w:rsidRPr="00340B37">
        <w:t xml:space="preserve"> 2012/13, nr. 1467</w:t>
      </w:r>
      <w:r>
        <w:t>.</w:t>
      </w:r>
    </w:p>
  </w:footnote>
  <w:footnote w:id="26">
    <w:p w:rsidR="0081127D" w:rsidRDefault="0081127D" w:rsidP="0081127D">
      <w:pPr>
        <w:pStyle w:val="Voetnoottekst"/>
      </w:pPr>
      <w:r>
        <w:rPr>
          <w:rStyle w:val="Voetnootmarkering"/>
        </w:rPr>
        <w:footnoteRef/>
      </w:r>
      <w:r>
        <w:t xml:space="preserve"> Een recent voorbeeld is de arrestatie en vervolging van Abulkasim Al-Jaberi voor de uitspraak ‘Fuck de Koning’ gedurende een demonstratie. Het Openbaar Ministerie heeft uiteindelijk afgezien van verdere vervolging. Daarbij kan de inmiddels gegenereerde media-aandacht een rol gespeeld hebben.</w:t>
      </w:r>
      <w:r w:rsidR="008D564E">
        <w:t xml:space="preserve"> Naar aanleiding van dit geval hield het tijschrift “Onze Taal” een online-poll met als vraag “</w:t>
      </w:r>
      <w:r w:rsidR="008D564E" w:rsidRPr="008D564E">
        <w:t>Is een wetsartikel voor majesteitsschennis wenselijk?</w:t>
      </w:r>
      <w:r w:rsidR="008D564E">
        <w:t>” De uitkomst daarvan was: “ja” 27 procent, “nee” 73 procent.</w:t>
      </w:r>
    </w:p>
  </w:footnote>
  <w:footnote w:id="27">
    <w:p w:rsidR="002252A4" w:rsidRDefault="002252A4">
      <w:pPr>
        <w:pStyle w:val="Voetnoottekst"/>
      </w:pPr>
      <w:r>
        <w:rPr>
          <w:rStyle w:val="Voetnootmarkering"/>
        </w:rPr>
        <w:footnoteRef/>
      </w:r>
      <w:r>
        <w:t xml:space="preserve"> Daaraan kan ook bijdragen dan bij majesteitsschennis, anders dan bij enkelvoudige belediging, het dwangmiddel van de inverzekeringstelling mogelijk is. </w:t>
      </w:r>
    </w:p>
  </w:footnote>
  <w:footnote w:id="28">
    <w:p w:rsidR="00BE5C50" w:rsidRDefault="009E60C1">
      <w:pPr>
        <w:pStyle w:val="Voetnoottekst"/>
      </w:pPr>
      <w:r>
        <w:rPr>
          <w:rStyle w:val="Voetnootmarkering"/>
        </w:rPr>
        <w:footnoteRef/>
      </w:r>
      <w:r>
        <w:t xml:space="preserve"> </w:t>
      </w:r>
      <w:r w:rsidR="00BE5C50">
        <w:t>Het in de oorsp</w:t>
      </w:r>
      <w:r w:rsidR="00601A5A">
        <w:t>r</w:t>
      </w:r>
      <w:r w:rsidR="00BE5C50">
        <w:t xml:space="preserve">onkelijke memorie van toelichting </w:t>
      </w:r>
      <w:r w:rsidR="008C6E67">
        <w:t xml:space="preserve">bij het Wetboek van Strafrecht </w:t>
      </w:r>
      <w:r w:rsidR="00BE5C50">
        <w:t>gebruikte argument</w:t>
      </w:r>
      <w:r w:rsidR="00601A5A">
        <w:t>,</w:t>
      </w:r>
      <w:r w:rsidR="00BE5C50">
        <w:t xml:space="preserve"> dat de koninklijke waardigheid niet gedoogt dat vorstelijke personen als aanklagers optreden, en dat dit “het openbaar vertrouwen op ’s rechters onbevangenheid aan het wankelen kunnen brengen en, zo eene vrijspraak volgde, het koninklijk aanzien kunnen verzwakken” (geciteerd bij  </w:t>
      </w:r>
      <w:r w:rsidR="00601A5A">
        <w:t xml:space="preserve">Noyon/Langemeijer &amp; </w:t>
      </w:r>
      <w:r w:rsidR="00BE5C50" w:rsidRPr="00BE5C50">
        <w:t xml:space="preserve">Remmelink, </w:t>
      </w:r>
      <w:r w:rsidR="00BE5C50">
        <w:t xml:space="preserve">a.w.) gaat dan ook niet meer op. </w:t>
      </w:r>
    </w:p>
    <w:p w:rsidR="009E60C1" w:rsidRPr="009E60C1" w:rsidRDefault="009E60C1">
      <w:pPr>
        <w:pStyle w:val="Voetnoottekst"/>
      </w:pPr>
      <w:r>
        <w:t xml:space="preserve">Zie </w:t>
      </w:r>
      <w:r w:rsidR="008C6E67">
        <w:t>voor voorbeelden</w:t>
      </w:r>
      <w:r w:rsidR="0069126C">
        <w:t xml:space="preserve"> van civielrechtelijke acties</w:t>
      </w:r>
      <w:r w:rsidR="00601A5A">
        <w:t>:</w:t>
      </w:r>
      <w:r w:rsidR="008C6E67">
        <w:t xml:space="preserve"> </w:t>
      </w:r>
      <w:r w:rsidRPr="004E5B64">
        <w:t>Rb. Amsterdam (pres.) 12 december 1985, KG 1986/</w:t>
      </w:r>
      <w:r w:rsidRPr="009E60C1">
        <w:t xml:space="preserve">26 (rectificatie weekblad </w:t>
      </w:r>
      <w:r w:rsidRPr="009E60C1">
        <w:rPr>
          <w:i/>
        </w:rPr>
        <w:t>Privé</w:t>
      </w:r>
      <w:r>
        <w:t xml:space="preserve">); </w:t>
      </w:r>
      <w:r w:rsidRPr="009D29B9">
        <w:t>Rb. Amsterdam 4 januari 2006, LJN AU9567 (</w:t>
      </w:r>
      <w:r>
        <w:t>P</w:t>
      </w:r>
      <w:r w:rsidRPr="009D29B9">
        <w:t>rinses Máxima/Privé)</w:t>
      </w:r>
      <w:r>
        <w:t xml:space="preserve">; Rb. Amsterdam, 30 juni 2014, ECLI: NL:RBAMS:2014:3806; </w:t>
      </w:r>
      <w:r w:rsidRPr="009D29B9">
        <w:t>Rb. Amsterdam 20 april 2005, LJN AT4199 (</w:t>
      </w:r>
      <w:r>
        <w:t>g</w:t>
      </w:r>
      <w:r w:rsidRPr="009D29B9">
        <w:t>estolen camera prinses Máxima)</w:t>
      </w:r>
      <w:r>
        <w:t xml:space="preserve">; </w:t>
      </w:r>
      <w:r w:rsidRPr="009D29B9">
        <w:t>Rb. Amsterdam (Vzr) 1 november 2007, LJN BB6926, Mediaforum 2008/3 m. nt. K.J. Koelman (Prins Willem-Alexander/Vereniging Martijn</w:t>
      </w:r>
      <w:r>
        <w:t xml:space="preserve">); </w:t>
      </w:r>
      <w:r w:rsidRPr="009D29B9">
        <w:t>Rb. Amsterdam 6 februari 2008, LJN BC 3781, Mediaforum 2008/11 m.nt. D. Griffiths (Prin</w:t>
      </w:r>
      <w:r>
        <w:t>s Willem-</w:t>
      </w:r>
      <w:r w:rsidRPr="009D29B9">
        <w:t>Alexander c</w:t>
      </w:r>
      <w:r>
        <w:t>.</w:t>
      </w:r>
      <w:r w:rsidRPr="009D29B9">
        <w:t>s</w:t>
      </w:r>
      <w:r>
        <w:t>.</w:t>
      </w:r>
      <w:r w:rsidRPr="009D29B9">
        <w:t>/Audax)</w:t>
      </w:r>
      <w:r>
        <w:t xml:space="preserve">; </w:t>
      </w:r>
      <w:r w:rsidRPr="009D29B9">
        <w:t xml:space="preserve">Rb. </w:t>
      </w:r>
      <w:r w:rsidRPr="000B5200">
        <w:rPr>
          <w:lang w:val="en-US"/>
        </w:rPr>
        <w:t>Amsterdam (vzr.) 28 augustus 2009, LJN BJ6330; NJF 2009/398; RAV 2009/112 (Prins Willem-Alexander c</w:t>
      </w:r>
      <w:r>
        <w:rPr>
          <w:lang w:val="en-US"/>
        </w:rPr>
        <w:t>.</w:t>
      </w:r>
      <w:r w:rsidRPr="000B5200">
        <w:rPr>
          <w:lang w:val="en-US"/>
        </w:rPr>
        <w:t>s</w:t>
      </w:r>
      <w:r>
        <w:rPr>
          <w:lang w:val="en-US"/>
        </w:rPr>
        <w:t>.</w:t>
      </w:r>
      <w:r w:rsidRPr="000B5200">
        <w:rPr>
          <w:lang w:val="en-US"/>
        </w:rPr>
        <w:t>/Associated Press).</w:t>
      </w:r>
    </w:p>
  </w:footnote>
  <w:footnote w:id="29">
    <w:p w:rsidR="00F33A35" w:rsidRDefault="00F33A35" w:rsidP="00450C79">
      <w:pPr>
        <w:pStyle w:val="Voetnoottekst"/>
      </w:pPr>
      <w:r>
        <w:rPr>
          <w:rStyle w:val="Voetnootmarkering"/>
        </w:rPr>
        <w:footnoteRef/>
      </w:r>
      <w:r>
        <w:t xml:space="preserve"> Zie ook Noyon/Langemeijer</w:t>
      </w:r>
      <w:r w:rsidR="0069126C">
        <w:t xml:space="preserve"> &amp; </w:t>
      </w:r>
      <w:r>
        <w:t>Remmelink</w:t>
      </w:r>
      <w:r w:rsidR="00B56A5A">
        <w:t xml:space="preserve">, </w:t>
      </w:r>
      <w:r w:rsidR="00F82185">
        <w:t>a.w.</w:t>
      </w:r>
      <w:r>
        <w:t>, artikel 269 Sr, aant. 2.</w:t>
      </w:r>
      <w:r w:rsidR="00A84361">
        <w:t xml:space="preserve"> In het Wetboek van Strafrecht BES komt een overeenkomstige bepaling voor, doch slechts met betrekking tot ambtenaren. </w:t>
      </w:r>
    </w:p>
  </w:footnote>
  <w:footnote w:id="30">
    <w:p w:rsidR="00C40F78" w:rsidRDefault="00C40F78" w:rsidP="00C40F78">
      <w:pPr>
        <w:pStyle w:val="Voetnoottekst"/>
      </w:pPr>
      <w:r>
        <w:rPr>
          <w:rStyle w:val="Voetnootmarkering"/>
        </w:rPr>
        <w:footnoteRef/>
      </w:r>
      <w:r>
        <w:t xml:space="preserve"> Hoge Raad 19-12-2000, NJ 2001, 101.</w:t>
      </w:r>
    </w:p>
  </w:footnote>
  <w:footnote w:id="31">
    <w:p w:rsidR="0069126C" w:rsidRDefault="0069126C" w:rsidP="0069126C">
      <w:pPr>
        <w:pStyle w:val="Voetnoottekst"/>
      </w:pPr>
      <w:r>
        <w:rPr>
          <w:rStyle w:val="Voetnootmarkering"/>
        </w:rPr>
        <w:footnoteRef/>
      </w:r>
      <w:r>
        <w:t xml:space="preserve"> </w:t>
      </w:r>
      <w:r w:rsidRPr="005D69ED">
        <w:rPr>
          <w:i/>
        </w:rPr>
        <w:t>Kamerstukken II 1975/76</w:t>
      </w:r>
      <w:r>
        <w:t xml:space="preserve"> 11249, nr. 6-8, blz. 22. </w:t>
      </w:r>
    </w:p>
  </w:footnote>
  <w:footnote w:id="32">
    <w:p w:rsidR="00C1031E" w:rsidRDefault="00C1031E" w:rsidP="00C1031E">
      <w:pPr>
        <w:pStyle w:val="Voetnoottekst"/>
      </w:pPr>
      <w:r>
        <w:rPr>
          <w:rStyle w:val="Voetnootmarkering"/>
        </w:rPr>
        <w:footnoteRef/>
      </w:r>
      <w:r>
        <w:t xml:space="preserve"> </w:t>
      </w:r>
      <w:r w:rsidRPr="008079BD">
        <w:t>Noyon/Langemeijer</w:t>
      </w:r>
      <w:r w:rsidR="00601A5A">
        <w:t xml:space="preserve"> &amp; </w:t>
      </w:r>
      <w:r w:rsidRPr="008079BD">
        <w:t>Remmelink</w:t>
      </w:r>
      <w:r>
        <w:t>,</w:t>
      </w:r>
      <w:r w:rsidRPr="008079BD">
        <w:t xml:space="preserve"> </w:t>
      </w:r>
      <w:r w:rsidR="00F82185">
        <w:t>a.w.</w:t>
      </w:r>
      <w:r w:rsidRPr="008079BD">
        <w:t>, artikel 111 Sr, aant. 3</w:t>
      </w:r>
      <w:r>
        <w:t>.</w:t>
      </w:r>
    </w:p>
  </w:footnote>
  <w:footnote w:id="33">
    <w:p w:rsidR="005B0C28" w:rsidRDefault="005B0C28">
      <w:pPr>
        <w:pStyle w:val="Voetnoottekst"/>
      </w:pPr>
      <w:r>
        <w:rPr>
          <w:rStyle w:val="Voetnootmarkering"/>
        </w:rPr>
        <w:footnoteRef/>
      </w:r>
      <w:r>
        <w:t xml:space="preserve"> </w:t>
      </w:r>
      <w:r w:rsidRPr="005B0C28">
        <w:t xml:space="preserve">Noyon/Langemeijer &amp; Remmelink, </w:t>
      </w:r>
      <w:r>
        <w:t xml:space="preserve">a.w. </w:t>
      </w:r>
      <w:r w:rsidRPr="005B0C28">
        <w:t>aant. 3</w:t>
      </w:r>
      <w:r>
        <w:t xml:space="preserve"> en 5</w:t>
      </w:r>
      <w:r w:rsidRPr="005B0C28">
        <w:t>.</w:t>
      </w:r>
    </w:p>
  </w:footnote>
  <w:footnote w:id="34">
    <w:p w:rsidR="002B727C" w:rsidRDefault="002B727C">
      <w:pPr>
        <w:pStyle w:val="Voetnoottekst"/>
      </w:pPr>
      <w:r>
        <w:rPr>
          <w:rStyle w:val="Voetnootmarkering"/>
        </w:rPr>
        <w:footnoteRef/>
      </w:r>
      <w:r>
        <w:t xml:space="preserve"> Zie paragraaf 2.</w:t>
      </w:r>
      <w:r w:rsidR="005D69ED">
        <w:t>2.</w:t>
      </w:r>
    </w:p>
  </w:footnote>
  <w:footnote w:id="35">
    <w:p w:rsidR="00274520" w:rsidRDefault="00274520" w:rsidP="00274520">
      <w:pPr>
        <w:pStyle w:val="Voetnoottekst"/>
      </w:pPr>
      <w:r>
        <w:rPr>
          <w:rStyle w:val="Voetnootmarkering"/>
        </w:rPr>
        <w:footnoteRef/>
      </w:r>
      <w:r>
        <w:t xml:space="preserve"> Dat neemt niet weg dat </w:t>
      </w:r>
      <w:r w:rsidR="009E5258">
        <w:t xml:space="preserve">in het buitenland </w:t>
      </w:r>
      <w:r>
        <w:t>strafbaarstelling van belediging van de natie of van nationale symbolen als de vlag en het volkslied vaak voor komt</w:t>
      </w:r>
      <w:r w:rsidR="00CC4D91">
        <w:t>. M</w:t>
      </w:r>
      <w:r>
        <w:t xml:space="preserve">aar dat betreft meestal landen die in ons land zelden  gezien worden </w:t>
      </w:r>
      <w:r w:rsidR="00CC4D91">
        <w:t xml:space="preserve">als landen die het goede voorbeeld geven waar het gaat om respect voor de </w:t>
      </w:r>
      <w:r>
        <w:t xml:space="preserve">vrijheid van meningsuiting. Zoals bijvoorbeeld </w:t>
      </w:r>
      <w:r w:rsidRPr="0099423B">
        <w:t>artikel 301 van het Turks Wetboek van Strafrecht</w:t>
      </w:r>
      <w:r>
        <w:t>, dat zowel aan de openbare aanklager</w:t>
      </w:r>
      <w:r w:rsidRPr="0099423B">
        <w:t xml:space="preserve"> als </w:t>
      </w:r>
      <w:r w:rsidR="00CC4D91">
        <w:t xml:space="preserve">aan </w:t>
      </w:r>
      <w:r w:rsidRPr="0099423B">
        <w:t xml:space="preserve">iedere individuele burger de mogelijkheid </w:t>
      </w:r>
      <w:r>
        <w:t xml:space="preserve">biedt om </w:t>
      </w:r>
      <w:r w:rsidRPr="0099423B">
        <w:t xml:space="preserve">een aanklacht in te dienen wegens het schenden van de </w:t>
      </w:r>
      <w:r>
        <w:t>“</w:t>
      </w:r>
      <w:r w:rsidRPr="0099423B">
        <w:t>eer van de natie</w:t>
      </w:r>
      <w:r>
        <w:t>”</w:t>
      </w:r>
      <w:r w:rsidRPr="0099423B">
        <w:t xml:space="preserve"> of </w:t>
      </w:r>
      <w:r>
        <w:t>het beledigen van de zogeheten “Turksheid”</w:t>
      </w:r>
      <w:r w:rsidRPr="0099423B">
        <w:t>.</w:t>
      </w:r>
    </w:p>
  </w:footnote>
  <w:footnote w:id="36">
    <w:p w:rsidR="00781214" w:rsidRPr="00781214" w:rsidRDefault="00E75221" w:rsidP="00E75221">
      <w:pPr>
        <w:pStyle w:val="Voetnoottekst"/>
        <w:rPr>
          <w:lang w:val="en-US"/>
        </w:rPr>
      </w:pPr>
      <w:r>
        <w:rPr>
          <w:rStyle w:val="Voetnootmarkering"/>
        </w:rPr>
        <w:footnoteRef/>
      </w:r>
      <w:r w:rsidRPr="00EE66DC">
        <w:rPr>
          <w:lang w:val="en-US"/>
        </w:rPr>
        <w:t xml:space="preserve"> Zie ook J. Foakes, </w:t>
      </w:r>
      <w:r w:rsidRPr="00EE66DC">
        <w:rPr>
          <w:i/>
          <w:lang w:val="en-US"/>
        </w:rPr>
        <w:t>The Position of Heads of State and Senior Officials in International Law</w:t>
      </w:r>
      <w:r>
        <w:rPr>
          <w:i/>
          <w:lang w:val="en-US"/>
        </w:rPr>
        <w:t xml:space="preserve">, </w:t>
      </w:r>
      <w:r>
        <w:rPr>
          <w:lang w:val="en-US"/>
        </w:rPr>
        <w:t>Oxford: Oxford University Press 2014, p. 68-71.</w:t>
      </w:r>
      <w:r w:rsidR="00781214">
        <w:rPr>
          <w:lang w:val="en-US"/>
        </w:rPr>
        <w:t xml:space="preserve"> Zo gaat ook de regering van de Bondsrepubliek Duitsland voorstellen deze bijzondere strafbepaling te schrappen, naar aanleiding van de vermeende belediging van de Turkse president Erdogan door de ZDF-komiek Jan Böhmermann in</w:t>
      </w:r>
      <w:r w:rsidR="00781214" w:rsidRPr="00781214">
        <w:t xml:space="preserve"> april</w:t>
      </w:r>
      <w:r w:rsidR="00781214">
        <w:rPr>
          <w:lang w:val="en-US"/>
        </w:rPr>
        <w:t xml:space="preserve"> 2016.</w:t>
      </w:r>
      <w:r w:rsidR="00781214" w:rsidRPr="00781214">
        <w:t xml:space="preserve"> </w:t>
      </w:r>
      <w:hyperlink r:id="rId1" w:history="1">
        <w:r w:rsidR="00781214" w:rsidRPr="00781214">
          <w:rPr>
            <w:rStyle w:val="Hyperlink"/>
            <w:color w:val="auto"/>
            <w:lang w:val="en-US"/>
          </w:rPr>
          <w:t>http://nos.nl/artikel/2099332-merkel-staat-strafonderzoek-naar-duitse-komiek-toe.html</w:t>
        </w:r>
      </w:hyperlink>
    </w:p>
  </w:footnote>
  <w:footnote w:id="37">
    <w:p w:rsidR="00E75221" w:rsidRPr="007E0452" w:rsidRDefault="00E75221" w:rsidP="00E75221">
      <w:pPr>
        <w:pStyle w:val="Voetnoottekst"/>
        <w:rPr>
          <w:lang w:val="en-US"/>
        </w:rPr>
      </w:pPr>
      <w:r>
        <w:rPr>
          <w:rStyle w:val="Voetnootmarkering"/>
        </w:rPr>
        <w:footnoteRef/>
      </w:r>
      <w:r w:rsidRPr="007E0452">
        <w:rPr>
          <w:lang w:val="en-US"/>
        </w:rPr>
        <w:t xml:space="preserve"> </w:t>
      </w:r>
      <w:r w:rsidRPr="007E0452">
        <w:rPr>
          <w:i/>
          <w:lang w:val="en-US"/>
        </w:rPr>
        <w:t>Kamerstukken II¸</w:t>
      </w:r>
      <w:r w:rsidRPr="007E0452">
        <w:rPr>
          <w:lang w:val="en-US"/>
        </w:rPr>
        <w:t>1970</w:t>
      </w:r>
      <w:r w:rsidR="00C71E97">
        <w:rPr>
          <w:lang w:val="en-US"/>
        </w:rPr>
        <w:t>/</w:t>
      </w:r>
      <w:r w:rsidRPr="007E0452">
        <w:rPr>
          <w:lang w:val="en-US"/>
        </w:rPr>
        <w:t>71, 11 249 nr.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3015"/>
    <w:multiLevelType w:val="hybridMultilevel"/>
    <w:tmpl w:val="A6EC3E3A"/>
    <w:lvl w:ilvl="0" w:tplc="4DB450BC">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4860E2"/>
    <w:multiLevelType w:val="hybridMultilevel"/>
    <w:tmpl w:val="5CF0E062"/>
    <w:lvl w:ilvl="0" w:tplc="590EEAB2">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471CD0"/>
    <w:multiLevelType w:val="hybridMultilevel"/>
    <w:tmpl w:val="5BDC6856"/>
    <w:lvl w:ilvl="0" w:tplc="115087C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DE"/>
    <w:rsid w:val="0003585D"/>
    <w:rsid w:val="00036231"/>
    <w:rsid w:val="000535AD"/>
    <w:rsid w:val="000B6102"/>
    <w:rsid w:val="000C3CCC"/>
    <w:rsid w:val="000F19F7"/>
    <w:rsid w:val="000F3AC2"/>
    <w:rsid w:val="00141377"/>
    <w:rsid w:val="001531E8"/>
    <w:rsid w:val="00162B18"/>
    <w:rsid w:val="00177012"/>
    <w:rsid w:val="001C0963"/>
    <w:rsid w:val="001C7670"/>
    <w:rsid w:val="001D2407"/>
    <w:rsid w:val="001E0875"/>
    <w:rsid w:val="001F78FB"/>
    <w:rsid w:val="00205074"/>
    <w:rsid w:val="00207C84"/>
    <w:rsid w:val="0021315C"/>
    <w:rsid w:val="00221D19"/>
    <w:rsid w:val="002252A4"/>
    <w:rsid w:val="002517AE"/>
    <w:rsid w:val="00252FD2"/>
    <w:rsid w:val="00253C58"/>
    <w:rsid w:val="002637B2"/>
    <w:rsid w:val="002667FA"/>
    <w:rsid w:val="00273E2B"/>
    <w:rsid w:val="00274520"/>
    <w:rsid w:val="002B1956"/>
    <w:rsid w:val="002B727C"/>
    <w:rsid w:val="00311FCB"/>
    <w:rsid w:val="003208E7"/>
    <w:rsid w:val="0033314C"/>
    <w:rsid w:val="00340B37"/>
    <w:rsid w:val="00341831"/>
    <w:rsid w:val="00345F76"/>
    <w:rsid w:val="00363366"/>
    <w:rsid w:val="003668F5"/>
    <w:rsid w:val="00396F01"/>
    <w:rsid w:val="003A6220"/>
    <w:rsid w:val="003A6249"/>
    <w:rsid w:val="003F06FD"/>
    <w:rsid w:val="004166DB"/>
    <w:rsid w:val="00443801"/>
    <w:rsid w:val="00450C79"/>
    <w:rsid w:val="00473B66"/>
    <w:rsid w:val="004851B4"/>
    <w:rsid w:val="004A1E4C"/>
    <w:rsid w:val="004B3BDC"/>
    <w:rsid w:val="004B7579"/>
    <w:rsid w:val="004C1E4E"/>
    <w:rsid w:val="004C201B"/>
    <w:rsid w:val="004F40C8"/>
    <w:rsid w:val="00525193"/>
    <w:rsid w:val="00530CC4"/>
    <w:rsid w:val="005409D4"/>
    <w:rsid w:val="005415D7"/>
    <w:rsid w:val="00547FA9"/>
    <w:rsid w:val="00557167"/>
    <w:rsid w:val="00564A32"/>
    <w:rsid w:val="00567129"/>
    <w:rsid w:val="005743C6"/>
    <w:rsid w:val="00574D42"/>
    <w:rsid w:val="005A096A"/>
    <w:rsid w:val="005B0C28"/>
    <w:rsid w:val="005B1DA8"/>
    <w:rsid w:val="005B6D40"/>
    <w:rsid w:val="005D44DE"/>
    <w:rsid w:val="005D69ED"/>
    <w:rsid w:val="005E5C73"/>
    <w:rsid w:val="005F60A3"/>
    <w:rsid w:val="00601A5A"/>
    <w:rsid w:val="00612CDF"/>
    <w:rsid w:val="00641704"/>
    <w:rsid w:val="00650176"/>
    <w:rsid w:val="00653C36"/>
    <w:rsid w:val="0066246A"/>
    <w:rsid w:val="006679E8"/>
    <w:rsid w:val="0069126C"/>
    <w:rsid w:val="006A59A2"/>
    <w:rsid w:val="006B51D2"/>
    <w:rsid w:val="006C7052"/>
    <w:rsid w:val="00702E42"/>
    <w:rsid w:val="007348E9"/>
    <w:rsid w:val="00745B98"/>
    <w:rsid w:val="00747233"/>
    <w:rsid w:val="00781214"/>
    <w:rsid w:val="007A4CC7"/>
    <w:rsid w:val="007A5481"/>
    <w:rsid w:val="007C6030"/>
    <w:rsid w:val="007C658C"/>
    <w:rsid w:val="007D78CF"/>
    <w:rsid w:val="007E6C4B"/>
    <w:rsid w:val="007F7648"/>
    <w:rsid w:val="0080333D"/>
    <w:rsid w:val="00803525"/>
    <w:rsid w:val="00803CD8"/>
    <w:rsid w:val="0081127D"/>
    <w:rsid w:val="008240FD"/>
    <w:rsid w:val="00847059"/>
    <w:rsid w:val="00870BA1"/>
    <w:rsid w:val="008A015F"/>
    <w:rsid w:val="008A0162"/>
    <w:rsid w:val="008A717D"/>
    <w:rsid w:val="008B591E"/>
    <w:rsid w:val="008C6E67"/>
    <w:rsid w:val="008D0D58"/>
    <w:rsid w:val="008D18ED"/>
    <w:rsid w:val="008D564E"/>
    <w:rsid w:val="008D57E6"/>
    <w:rsid w:val="008D7FF8"/>
    <w:rsid w:val="00902AF6"/>
    <w:rsid w:val="00910E23"/>
    <w:rsid w:val="00910EE7"/>
    <w:rsid w:val="0094058F"/>
    <w:rsid w:val="00956894"/>
    <w:rsid w:val="009856B5"/>
    <w:rsid w:val="0099423B"/>
    <w:rsid w:val="009A7FEB"/>
    <w:rsid w:val="009E082A"/>
    <w:rsid w:val="009E5258"/>
    <w:rsid w:val="009E60C1"/>
    <w:rsid w:val="009F2A72"/>
    <w:rsid w:val="00A222DA"/>
    <w:rsid w:val="00A40200"/>
    <w:rsid w:val="00A50671"/>
    <w:rsid w:val="00A56CA1"/>
    <w:rsid w:val="00A77A2C"/>
    <w:rsid w:val="00A84361"/>
    <w:rsid w:val="00A903A9"/>
    <w:rsid w:val="00A951FD"/>
    <w:rsid w:val="00AB1828"/>
    <w:rsid w:val="00AB49EB"/>
    <w:rsid w:val="00AC4EA6"/>
    <w:rsid w:val="00AC78B0"/>
    <w:rsid w:val="00AD02A6"/>
    <w:rsid w:val="00AD61FB"/>
    <w:rsid w:val="00AE7AD5"/>
    <w:rsid w:val="00AF259D"/>
    <w:rsid w:val="00AF40C7"/>
    <w:rsid w:val="00B06CCB"/>
    <w:rsid w:val="00B167D4"/>
    <w:rsid w:val="00B21D70"/>
    <w:rsid w:val="00B25CF2"/>
    <w:rsid w:val="00B2617D"/>
    <w:rsid w:val="00B2753E"/>
    <w:rsid w:val="00B359AA"/>
    <w:rsid w:val="00B56A5A"/>
    <w:rsid w:val="00B6758D"/>
    <w:rsid w:val="00B84CC5"/>
    <w:rsid w:val="00B935E3"/>
    <w:rsid w:val="00BA3AB8"/>
    <w:rsid w:val="00BA421A"/>
    <w:rsid w:val="00BB4D64"/>
    <w:rsid w:val="00BB5301"/>
    <w:rsid w:val="00BD66C5"/>
    <w:rsid w:val="00BE5C50"/>
    <w:rsid w:val="00C04F46"/>
    <w:rsid w:val="00C1031E"/>
    <w:rsid w:val="00C11117"/>
    <w:rsid w:val="00C205F4"/>
    <w:rsid w:val="00C40F78"/>
    <w:rsid w:val="00C71505"/>
    <w:rsid w:val="00C71E97"/>
    <w:rsid w:val="00C77DC2"/>
    <w:rsid w:val="00C817D5"/>
    <w:rsid w:val="00C842EF"/>
    <w:rsid w:val="00CC0D92"/>
    <w:rsid w:val="00CC4004"/>
    <w:rsid w:val="00CC4D91"/>
    <w:rsid w:val="00CD057E"/>
    <w:rsid w:val="00CD56C0"/>
    <w:rsid w:val="00CF282F"/>
    <w:rsid w:val="00D10006"/>
    <w:rsid w:val="00D23954"/>
    <w:rsid w:val="00D4035D"/>
    <w:rsid w:val="00D51AD6"/>
    <w:rsid w:val="00D70D42"/>
    <w:rsid w:val="00D71CB6"/>
    <w:rsid w:val="00DA2884"/>
    <w:rsid w:val="00DA6250"/>
    <w:rsid w:val="00DE568C"/>
    <w:rsid w:val="00E43752"/>
    <w:rsid w:val="00E61614"/>
    <w:rsid w:val="00E751EA"/>
    <w:rsid w:val="00E75221"/>
    <w:rsid w:val="00E77F0A"/>
    <w:rsid w:val="00EA7909"/>
    <w:rsid w:val="00EE24DA"/>
    <w:rsid w:val="00F04FB6"/>
    <w:rsid w:val="00F14E1D"/>
    <w:rsid w:val="00F32A31"/>
    <w:rsid w:val="00F33A35"/>
    <w:rsid w:val="00F36A78"/>
    <w:rsid w:val="00F47070"/>
    <w:rsid w:val="00F53F11"/>
    <w:rsid w:val="00F56788"/>
    <w:rsid w:val="00F72921"/>
    <w:rsid w:val="00F82185"/>
    <w:rsid w:val="00FA0D5E"/>
    <w:rsid w:val="00FC49C5"/>
    <w:rsid w:val="00FC4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4DE"/>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D44DE"/>
    <w:pPr>
      <w:widowControl w:val="0"/>
      <w:tabs>
        <w:tab w:val="left" w:pos="3310"/>
        <w:tab w:val="left" w:pos="3600"/>
      </w:tabs>
      <w:suppressAutoHyphens/>
    </w:pPr>
    <w:rPr>
      <w:rFonts w:ascii="Courier New" w:eastAsia="Times New Roman" w:hAnsi="Courier New" w:cs="Courier New"/>
      <w:b/>
      <w:bCs/>
      <w:szCs w:val="24"/>
      <w:lang w:eastAsia="nl-NL"/>
    </w:rPr>
  </w:style>
  <w:style w:type="paragraph" w:styleId="Geenafstand">
    <w:name w:val="No Spacing"/>
    <w:uiPriority w:val="1"/>
    <w:qFormat/>
    <w:rsid w:val="005D44DE"/>
    <w:rPr>
      <w:rFonts w:asciiTheme="minorHAnsi" w:hAnsiTheme="minorHAnsi"/>
      <w:sz w:val="22"/>
    </w:rPr>
  </w:style>
  <w:style w:type="paragraph" w:styleId="Voetnoottekst">
    <w:name w:val="footnote text"/>
    <w:aliases w:val="5_G"/>
    <w:basedOn w:val="Standaard"/>
    <w:link w:val="VoetnoottekstChar"/>
    <w:uiPriority w:val="99"/>
    <w:rsid w:val="004A1E4C"/>
    <w:pPr>
      <w:widowControl w:val="0"/>
    </w:pPr>
    <w:rPr>
      <w:rFonts w:ascii="Times New Roman" w:hAnsi="Times New Roman"/>
      <w:szCs w:val="20"/>
    </w:rPr>
  </w:style>
  <w:style w:type="character" w:customStyle="1" w:styleId="VoetnoottekstChar">
    <w:name w:val="Voetnoottekst Char"/>
    <w:aliases w:val="5_G Char"/>
    <w:basedOn w:val="Standaardalinea-lettertype"/>
    <w:link w:val="Voetnoottekst"/>
    <w:uiPriority w:val="99"/>
    <w:rsid w:val="004A1E4C"/>
    <w:rPr>
      <w:rFonts w:eastAsia="Times New Roman" w:cs="Times New Roman"/>
      <w:sz w:val="20"/>
      <w:szCs w:val="20"/>
      <w:lang w:eastAsia="nl-NL"/>
    </w:rPr>
  </w:style>
  <w:style w:type="character" w:styleId="Voetnootmarkering">
    <w:name w:val="footnote reference"/>
    <w:basedOn w:val="Standaardalinea-lettertype"/>
    <w:uiPriority w:val="99"/>
    <w:rsid w:val="004A1E4C"/>
    <w:rPr>
      <w:vertAlign w:val="superscript"/>
    </w:rPr>
  </w:style>
  <w:style w:type="table" w:styleId="Tabelraster">
    <w:name w:val="Table Grid"/>
    <w:basedOn w:val="Standaardtabel"/>
    <w:rsid w:val="004A1E4C"/>
    <w:rPr>
      <w:rFonts w:eastAsia="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4A1E4C"/>
    <w:rPr>
      <w:sz w:val="16"/>
      <w:szCs w:val="16"/>
    </w:rPr>
  </w:style>
  <w:style w:type="paragraph" w:styleId="Tekstopmerking">
    <w:name w:val="annotation text"/>
    <w:basedOn w:val="Standaard"/>
    <w:link w:val="TekstopmerkingChar"/>
    <w:rsid w:val="004A1E4C"/>
    <w:pPr>
      <w:widowControl w:val="0"/>
    </w:pPr>
    <w:rPr>
      <w:rFonts w:ascii="Times New Roman" w:hAnsi="Times New Roman"/>
      <w:szCs w:val="20"/>
    </w:rPr>
  </w:style>
  <w:style w:type="character" w:customStyle="1" w:styleId="TekstopmerkingChar">
    <w:name w:val="Tekst opmerking Char"/>
    <w:basedOn w:val="Standaardalinea-lettertype"/>
    <w:link w:val="Tekstopmerking"/>
    <w:rsid w:val="004A1E4C"/>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4A1E4C"/>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E4C"/>
    <w:rPr>
      <w:rFonts w:ascii="Tahoma" w:eastAsia="Times New Roman" w:hAnsi="Tahoma" w:cs="Tahoma"/>
      <w:sz w:val="16"/>
      <w:szCs w:val="16"/>
      <w:lang w:eastAsia="nl-NL"/>
    </w:rPr>
  </w:style>
  <w:style w:type="character" w:styleId="Hyperlink">
    <w:name w:val="Hyperlink"/>
    <w:basedOn w:val="Standaardalinea-lettertype"/>
    <w:rsid w:val="00CF282F"/>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66246A"/>
    <w:pPr>
      <w:widowControl/>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66246A"/>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547FA9"/>
    <w:pPr>
      <w:tabs>
        <w:tab w:val="center" w:pos="4536"/>
        <w:tab w:val="right" w:pos="9072"/>
      </w:tabs>
    </w:pPr>
  </w:style>
  <w:style w:type="character" w:customStyle="1" w:styleId="KoptekstChar">
    <w:name w:val="Koptekst Char"/>
    <w:basedOn w:val="Standaardalinea-lettertype"/>
    <w:link w:val="Koptekst"/>
    <w:uiPriority w:val="99"/>
    <w:rsid w:val="00547FA9"/>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547FA9"/>
    <w:pPr>
      <w:tabs>
        <w:tab w:val="center" w:pos="4536"/>
        <w:tab w:val="right" w:pos="9072"/>
      </w:tabs>
    </w:pPr>
  </w:style>
  <w:style w:type="character" w:customStyle="1" w:styleId="VoettekstChar">
    <w:name w:val="Voettekst Char"/>
    <w:basedOn w:val="Standaardalinea-lettertype"/>
    <w:link w:val="Voettekst"/>
    <w:uiPriority w:val="99"/>
    <w:rsid w:val="00547FA9"/>
    <w:rPr>
      <w:rFonts w:ascii="Verdana" w:eastAsia="Times New Roman" w:hAnsi="Verdana" w:cs="Times New Roman"/>
      <w:sz w:val="20"/>
      <w:szCs w:val="24"/>
      <w:lang w:eastAsia="nl-NL"/>
    </w:rPr>
  </w:style>
  <w:style w:type="paragraph" w:styleId="Lijstalinea">
    <w:name w:val="List Paragraph"/>
    <w:basedOn w:val="Standaard"/>
    <w:uiPriority w:val="34"/>
    <w:qFormat/>
    <w:rsid w:val="003F0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44DE"/>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5D44DE"/>
    <w:pPr>
      <w:widowControl w:val="0"/>
      <w:tabs>
        <w:tab w:val="left" w:pos="3310"/>
        <w:tab w:val="left" w:pos="3600"/>
      </w:tabs>
      <w:suppressAutoHyphens/>
    </w:pPr>
    <w:rPr>
      <w:rFonts w:ascii="Courier New" w:eastAsia="Times New Roman" w:hAnsi="Courier New" w:cs="Courier New"/>
      <w:b/>
      <w:bCs/>
      <w:szCs w:val="24"/>
      <w:lang w:eastAsia="nl-NL"/>
    </w:rPr>
  </w:style>
  <w:style w:type="paragraph" w:styleId="Geenafstand">
    <w:name w:val="No Spacing"/>
    <w:uiPriority w:val="1"/>
    <w:qFormat/>
    <w:rsid w:val="005D44DE"/>
    <w:rPr>
      <w:rFonts w:asciiTheme="minorHAnsi" w:hAnsiTheme="minorHAnsi"/>
      <w:sz w:val="22"/>
    </w:rPr>
  </w:style>
  <w:style w:type="paragraph" w:styleId="Voetnoottekst">
    <w:name w:val="footnote text"/>
    <w:aliases w:val="5_G"/>
    <w:basedOn w:val="Standaard"/>
    <w:link w:val="VoetnoottekstChar"/>
    <w:uiPriority w:val="99"/>
    <w:rsid w:val="004A1E4C"/>
    <w:pPr>
      <w:widowControl w:val="0"/>
    </w:pPr>
    <w:rPr>
      <w:rFonts w:ascii="Times New Roman" w:hAnsi="Times New Roman"/>
      <w:szCs w:val="20"/>
    </w:rPr>
  </w:style>
  <w:style w:type="character" w:customStyle="1" w:styleId="VoetnoottekstChar">
    <w:name w:val="Voetnoottekst Char"/>
    <w:aliases w:val="5_G Char"/>
    <w:basedOn w:val="Standaardalinea-lettertype"/>
    <w:link w:val="Voetnoottekst"/>
    <w:uiPriority w:val="99"/>
    <w:rsid w:val="004A1E4C"/>
    <w:rPr>
      <w:rFonts w:eastAsia="Times New Roman" w:cs="Times New Roman"/>
      <w:sz w:val="20"/>
      <w:szCs w:val="20"/>
      <w:lang w:eastAsia="nl-NL"/>
    </w:rPr>
  </w:style>
  <w:style w:type="character" w:styleId="Voetnootmarkering">
    <w:name w:val="footnote reference"/>
    <w:basedOn w:val="Standaardalinea-lettertype"/>
    <w:uiPriority w:val="99"/>
    <w:rsid w:val="004A1E4C"/>
    <w:rPr>
      <w:vertAlign w:val="superscript"/>
    </w:rPr>
  </w:style>
  <w:style w:type="table" w:styleId="Tabelraster">
    <w:name w:val="Table Grid"/>
    <w:basedOn w:val="Standaardtabel"/>
    <w:rsid w:val="004A1E4C"/>
    <w:rPr>
      <w:rFonts w:eastAsia="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4A1E4C"/>
    <w:rPr>
      <w:sz w:val="16"/>
      <w:szCs w:val="16"/>
    </w:rPr>
  </w:style>
  <w:style w:type="paragraph" w:styleId="Tekstopmerking">
    <w:name w:val="annotation text"/>
    <w:basedOn w:val="Standaard"/>
    <w:link w:val="TekstopmerkingChar"/>
    <w:rsid w:val="004A1E4C"/>
    <w:pPr>
      <w:widowControl w:val="0"/>
    </w:pPr>
    <w:rPr>
      <w:rFonts w:ascii="Times New Roman" w:hAnsi="Times New Roman"/>
      <w:szCs w:val="20"/>
    </w:rPr>
  </w:style>
  <w:style w:type="character" w:customStyle="1" w:styleId="TekstopmerkingChar">
    <w:name w:val="Tekst opmerking Char"/>
    <w:basedOn w:val="Standaardalinea-lettertype"/>
    <w:link w:val="Tekstopmerking"/>
    <w:rsid w:val="004A1E4C"/>
    <w:rPr>
      <w:rFonts w:eastAsia="Times New Roman" w:cs="Times New Roman"/>
      <w:sz w:val="20"/>
      <w:szCs w:val="20"/>
      <w:lang w:eastAsia="nl-NL"/>
    </w:rPr>
  </w:style>
  <w:style w:type="paragraph" w:styleId="Ballontekst">
    <w:name w:val="Balloon Text"/>
    <w:basedOn w:val="Standaard"/>
    <w:link w:val="BallontekstChar"/>
    <w:uiPriority w:val="99"/>
    <w:semiHidden/>
    <w:unhideWhenUsed/>
    <w:rsid w:val="004A1E4C"/>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E4C"/>
    <w:rPr>
      <w:rFonts w:ascii="Tahoma" w:eastAsia="Times New Roman" w:hAnsi="Tahoma" w:cs="Tahoma"/>
      <w:sz w:val="16"/>
      <w:szCs w:val="16"/>
      <w:lang w:eastAsia="nl-NL"/>
    </w:rPr>
  </w:style>
  <w:style w:type="character" w:styleId="Hyperlink">
    <w:name w:val="Hyperlink"/>
    <w:basedOn w:val="Standaardalinea-lettertype"/>
    <w:rsid w:val="00CF282F"/>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66246A"/>
    <w:pPr>
      <w:widowControl/>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66246A"/>
    <w:rPr>
      <w:rFonts w:ascii="Verdana" w:eastAsia="Times New Roman" w:hAnsi="Verdana" w:cs="Times New Roman"/>
      <w:b/>
      <w:bCs/>
      <w:sz w:val="20"/>
      <w:szCs w:val="20"/>
      <w:lang w:eastAsia="nl-NL"/>
    </w:rPr>
  </w:style>
  <w:style w:type="paragraph" w:styleId="Koptekst">
    <w:name w:val="header"/>
    <w:basedOn w:val="Standaard"/>
    <w:link w:val="KoptekstChar"/>
    <w:uiPriority w:val="99"/>
    <w:unhideWhenUsed/>
    <w:rsid w:val="00547FA9"/>
    <w:pPr>
      <w:tabs>
        <w:tab w:val="center" w:pos="4536"/>
        <w:tab w:val="right" w:pos="9072"/>
      </w:tabs>
    </w:pPr>
  </w:style>
  <w:style w:type="character" w:customStyle="1" w:styleId="KoptekstChar">
    <w:name w:val="Koptekst Char"/>
    <w:basedOn w:val="Standaardalinea-lettertype"/>
    <w:link w:val="Koptekst"/>
    <w:uiPriority w:val="99"/>
    <w:rsid w:val="00547FA9"/>
    <w:rPr>
      <w:rFonts w:ascii="Verdana" w:eastAsia="Times New Roman" w:hAnsi="Verdana" w:cs="Times New Roman"/>
      <w:sz w:val="20"/>
      <w:szCs w:val="24"/>
      <w:lang w:eastAsia="nl-NL"/>
    </w:rPr>
  </w:style>
  <w:style w:type="paragraph" w:styleId="Voettekst">
    <w:name w:val="footer"/>
    <w:basedOn w:val="Standaard"/>
    <w:link w:val="VoettekstChar"/>
    <w:uiPriority w:val="99"/>
    <w:unhideWhenUsed/>
    <w:rsid w:val="00547FA9"/>
    <w:pPr>
      <w:tabs>
        <w:tab w:val="center" w:pos="4536"/>
        <w:tab w:val="right" w:pos="9072"/>
      </w:tabs>
    </w:pPr>
  </w:style>
  <w:style w:type="character" w:customStyle="1" w:styleId="VoettekstChar">
    <w:name w:val="Voettekst Char"/>
    <w:basedOn w:val="Standaardalinea-lettertype"/>
    <w:link w:val="Voettekst"/>
    <w:uiPriority w:val="99"/>
    <w:rsid w:val="00547FA9"/>
    <w:rPr>
      <w:rFonts w:ascii="Verdana" w:eastAsia="Times New Roman" w:hAnsi="Verdana" w:cs="Times New Roman"/>
      <w:sz w:val="20"/>
      <w:szCs w:val="24"/>
      <w:lang w:eastAsia="nl-NL"/>
    </w:rPr>
  </w:style>
  <w:style w:type="paragraph" w:styleId="Lijstalinea">
    <w:name w:val="List Paragraph"/>
    <w:basedOn w:val="Standaard"/>
    <w:uiPriority w:val="34"/>
    <w:qFormat/>
    <w:rsid w:val="003F0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nos.nl/artikel/2099332-merkel-staat-strafonderzoek-naar-duitse-komiek-toe.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83EAD74DA80D4D9A862C69482F1AAC" ma:contentTypeVersion="0" ma:contentTypeDescription="Een nieuw document maken." ma:contentTypeScope="" ma:versionID="ed6fd0c116806e8835c249f2062c3f11">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44BD3-94DA-40DC-A67A-083D6E6DFE3F}"/>
</file>

<file path=customXml/itemProps2.xml><?xml version="1.0" encoding="utf-8"?>
<ds:datastoreItem xmlns:ds="http://schemas.openxmlformats.org/officeDocument/2006/customXml" ds:itemID="{B55B3275-5198-435E-A5AC-7354C31D5B12}"/>
</file>

<file path=customXml/itemProps3.xml><?xml version="1.0" encoding="utf-8"?>
<ds:datastoreItem xmlns:ds="http://schemas.openxmlformats.org/officeDocument/2006/customXml" ds:itemID="{72A3D3E5-8B0F-46F0-883A-CC37DBE01657}"/>
</file>

<file path=customXml/itemProps4.xml><?xml version="1.0" encoding="utf-8"?>
<ds:datastoreItem xmlns:ds="http://schemas.openxmlformats.org/officeDocument/2006/customXml" ds:itemID="{EFD49347-4FAA-47AE-B172-046FB3B542F9}"/>
</file>

<file path=docProps/app.xml><?xml version="1.0" encoding="utf-8"?>
<Properties xmlns="http://schemas.openxmlformats.org/officeDocument/2006/extended-properties" xmlns:vt="http://schemas.openxmlformats.org/officeDocument/2006/docPropsVTypes">
  <Template>53FF2491</Template>
  <TotalTime>0</TotalTime>
  <Pages>13</Pages>
  <Words>5657</Words>
  <Characters>31116</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36700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Anouschka Groot</cp:lastModifiedBy>
  <cp:revision>2</cp:revision>
  <cp:lastPrinted>2016-03-29T14:49:00Z</cp:lastPrinted>
  <dcterms:created xsi:type="dcterms:W3CDTF">2016-04-22T07:13:00Z</dcterms:created>
  <dcterms:modified xsi:type="dcterms:W3CDTF">2016-04-22T07:13:00Z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0x010100CB83EAD74DA80D4D9A862C69482F1AAC</vt:lpwstr>
  </property>
</Properties>
</file>