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FFE" w:rsidRPr="00746FFE" w:rsidRDefault="00746FFE" w:rsidP="00746FFE">
      <w:pPr>
        <w:pStyle w:val="NoSpacing"/>
        <w:rPr>
          <w:rFonts w:ascii="Times New Roman" w:hAnsi="Times New Roman" w:cs="Times New Roman"/>
          <w:b/>
          <w:bCs/>
          <w:sz w:val="24"/>
          <w:szCs w:val="24"/>
        </w:rPr>
      </w:pPr>
      <w:bookmarkStart w:id="0" w:name="_GoBack"/>
      <w:bookmarkEnd w:id="0"/>
      <w:r w:rsidRPr="00746FFE">
        <w:rPr>
          <w:rFonts w:ascii="Times New Roman" w:hAnsi="Times New Roman" w:cs="Times New Roman"/>
          <w:b/>
          <w:bCs/>
          <w:sz w:val="24"/>
          <w:szCs w:val="24"/>
        </w:rPr>
        <w:t>Wijziging van het Wetboek van Strafrecht, het Wetboek van Strafvordering en enkele andere wetten tot versterking van de strafrechtelijke en de strafvorderlijke mogelijkheden om terrorisme te bestrijden (versterking strafrechtelijke aanpak terrorisme)</w:t>
      </w:r>
    </w:p>
    <w:p w:rsidR="0023541D" w:rsidRPr="00A20DC6" w:rsidRDefault="0023541D" w:rsidP="00ED7853">
      <w:pPr>
        <w:pStyle w:val="NoSpacing"/>
        <w:rPr>
          <w:rFonts w:ascii="Times New Roman" w:hAnsi="Times New Roman" w:cs="Times New Roman"/>
          <w:sz w:val="24"/>
          <w:szCs w:val="24"/>
        </w:rPr>
      </w:pPr>
    </w:p>
    <w:p w:rsidR="0023541D" w:rsidRPr="00A20DC6" w:rsidRDefault="0023541D" w:rsidP="00ED7853">
      <w:pPr>
        <w:pStyle w:val="NoSpacing"/>
        <w:rPr>
          <w:rFonts w:ascii="Times New Roman" w:hAnsi="Times New Roman" w:cs="Times New Roman"/>
          <w:sz w:val="24"/>
          <w:szCs w:val="24"/>
        </w:rPr>
      </w:pPr>
    </w:p>
    <w:p w:rsidR="0023541D" w:rsidRPr="00A20DC6" w:rsidRDefault="0023541D" w:rsidP="00ED7853">
      <w:pPr>
        <w:pStyle w:val="NoSpacing"/>
        <w:rPr>
          <w:rFonts w:ascii="Times New Roman" w:hAnsi="Times New Roman" w:cs="Times New Roman"/>
          <w:b/>
          <w:bCs/>
          <w:sz w:val="24"/>
          <w:szCs w:val="24"/>
        </w:rPr>
      </w:pPr>
      <w:r w:rsidRPr="00A20DC6">
        <w:rPr>
          <w:rFonts w:ascii="Times New Roman" w:hAnsi="Times New Roman" w:cs="Times New Roman"/>
          <w:b/>
          <w:bCs/>
          <w:sz w:val="24"/>
          <w:szCs w:val="24"/>
        </w:rPr>
        <w:t>MEMORIE VAN TOELICHTING</w:t>
      </w:r>
    </w:p>
    <w:p w:rsidR="0023541D" w:rsidRPr="00A20DC6" w:rsidRDefault="0023541D" w:rsidP="00ED7853">
      <w:pPr>
        <w:pStyle w:val="NoSpacing"/>
        <w:rPr>
          <w:rFonts w:ascii="Times New Roman" w:hAnsi="Times New Roman" w:cs="Times New Roman"/>
          <w:b/>
          <w:bCs/>
          <w:sz w:val="24"/>
          <w:szCs w:val="24"/>
        </w:rPr>
      </w:pPr>
    </w:p>
    <w:p w:rsidR="00DA6517" w:rsidRPr="00A20DC6" w:rsidRDefault="00DA6517" w:rsidP="00ED7853">
      <w:pPr>
        <w:pStyle w:val="NoSpacing"/>
        <w:rPr>
          <w:rFonts w:ascii="Times New Roman" w:hAnsi="Times New Roman" w:cs="Times New Roman"/>
          <w:b/>
          <w:bCs/>
          <w:sz w:val="24"/>
          <w:szCs w:val="24"/>
        </w:rPr>
      </w:pPr>
    </w:p>
    <w:p w:rsidR="0023541D" w:rsidRPr="00A20DC6" w:rsidRDefault="0023541D" w:rsidP="00ED7853">
      <w:pPr>
        <w:pStyle w:val="NoSpacing"/>
        <w:rPr>
          <w:rFonts w:ascii="Times New Roman" w:hAnsi="Times New Roman" w:cs="Times New Roman"/>
          <w:b/>
          <w:bCs/>
          <w:sz w:val="24"/>
          <w:szCs w:val="24"/>
        </w:rPr>
      </w:pPr>
      <w:r w:rsidRPr="00A20DC6">
        <w:rPr>
          <w:rFonts w:ascii="Times New Roman" w:hAnsi="Times New Roman" w:cs="Times New Roman"/>
          <w:b/>
          <w:bCs/>
          <w:sz w:val="24"/>
          <w:szCs w:val="24"/>
        </w:rPr>
        <w:t xml:space="preserve">I. </w:t>
      </w:r>
      <w:r w:rsidRPr="00A20DC6">
        <w:rPr>
          <w:rFonts w:ascii="Times New Roman" w:hAnsi="Times New Roman" w:cs="Times New Roman"/>
          <w:b/>
          <w:bCs/>
          <w:sz w:val="24"/>
          <w:szCs w:val="24"/>
        </w:rPr>
        <w:tab/>
        <w:t>Algemeen</w:t>
      </w:r>
    </w:p>
    <w:p w:rsidR="0023541D" w:rsidRPr="00A20DC6" w:rsidRDefault="0023541D" w:rsidP="00ED7853">
      <w:pPr>
        <w:pStyle w:val="NoSpacing"/>
        <w:rPr>
          <w:rFonts w:ascii="Times New Roman" w:hAnsi="Times New Roman" w:cs="Times New Roman"/>
          <w:b/>
          <w:bCs/>
          <w:sz w:val="24"/>
          <w:szCs w:val="24"/>
        </w:rPr>
      </w:pPr>
    </w:p>
    <w:p w:rsidR="0023541D" w:rsidRPr="00A20DC6" w:rsidRDefault="0023541D" w:rsidP="00ED7853">
      <w:pPr>
        <w:pStyle w:val="NoSpacing"/>
        <w:rPr>
          <w:rFonts w:ascii="Times New Roman" w:hAnsi="Times New Roman" w:cs="Times New Roman"/>
          <w:b/>
          <w:bCs/>
          <w:sz w:val="24"/>
          <w:szCs w:val="24"/>
        </w:rPr>
      </w:pPr>
      <w:r w:rsidRPr="00A20DC6">
        <w:rPr>
          <w:rFonts w:ascii="Times New Roman" w:hAnsi="Times New Roman" w:cs="Times New Roman"/>
          <w:b/>
          <w:bCs/>
          <w:sz w:val="24"/>
          <w:szCs w:val="24"/>
        </w:rPr>
        <w:t>1.</w:t>
      </w:r>
      <w:r w:rsidRPr="00A20DC6">
        <w:rPr>
          <w:rFonts w:ascii="Times New Roman" w:hAnsi="Times New Roman" w:cs="Times New Roman"/>
          <w:b/>
          <w:bCs/>
          <w:sz w:val="24"/>
          <w:szCs w:val="24"/>
        </w:rPr>
        <w:tab/>
        <w:t>Inleiding</w:t>
      </w:r>
    </w:p>
    <w:p w:rsidR="00FD7D8A" w:rsidRPr="00A20DC6" w:rsidRDefault="00FD7D8A" w:rsidP="00ED7853">
      <w:pPr>
        <w:pStyle w:val="NoSpacing"/>
        <w:rPr>
          <w:rFonts w:ascii="Times New Roman" w:hAnsi="Times New Roman" w:cs="Times New Roman"/>
          <w:b/>
          <w:bCs/>
          <w:sz w:val="24"/>
          <w:szCs w:val="24"/>
        </w:rPr>
      </w:pPr>
    </w:p>
    <w:p w:rsidR="0057663B" w:rsidRPr="00A20DC6" w:rsidRDefault="00FD7D8A" w:rsidP="000A4BBE">
      <w:pPr>
        <w:pStyle w:val="NoSpacing"/>
        <w:rPr>
          <w:rFonts w:ascii="Times New Roman" w:hAnsi="Times New Roman" w:cs="Times New Roman"/>
          <w:sz w:val="24"/>
          <w:szCs w:val="24"/>
        </w:rPr>
      </w:pPr>
      <w:r w:rsidRPr="00A20DC6">
        <w:rPr>
          <w:rFonts w:ascii="Times New Roman" w:hAnsi="Times New Roman" w:cs="Times New Roman"/>
          <w:sz w:val="24"/>
          <w:szCs w:val="24"/>
        </w:rPr>
        <w:t xml:space="preserve">Het afgelopen jaar heeft de </w:t>
      </w:r>
      <w:r w:rsidR="00FE5466" w:rsidRPr="00A20DC6">
        <w:rPr>
          <w:rFonts w:ascii="Times New Roman" w:hAnsi="Times New Roman" w:cs="Times New Roman"/>
          <w:sz w:val="24"/>
          <w:szCs w:val="24"/>
        </w:rPr>
        <w:t>dreiging</w:t>
      </w:r>
      <w:r w:rsidRPr="00A20DC6">
        <w:rPr>
          <w:rFonts w:ascii="Times New Roman" w:hAnsi="Times New Roman" w:cs="Times New Roman"/>
          <w:sz w:val="24"/>
          <w:szCs w:val="24"/>
        </w:rPr>
        <w:t xml:space="preserve"> van terro</w:t>
      </w:r>
      <w:r w:rsidR="005F7ED3" w:rsidRPr="00A20DC6">
        <w:rPr>
          <w:rFonts w:ascii="Times New Roman" w:hAnsi="Times New Roman" w:cs="Times New Roman"/>
          <w:sz w:val="24"/>
          <w:szCs w:val="24"/>
        </w:rPr>
        <w:t>risme in West-E</w:t>
      </w:r>
      <w:r w:rsidRPr="00A20DC6">
        <w:rPr>
          <w:rFonts w:ascii="Times New Roman" w:hAnsi="Times New Roman" w:cs="Times New Roman"/>
          <w:sz w:val="24"/>
          <w:szCs w:val="24"/>
        </w:rPr>
        <w:t xml:space="preserve">uropa en elders, zich wederom geuit in </w:t>
      </w:r>
      <w:r w:rsidR="005F7ED3" w:rsidRPr="00A20DC6">
        <w:rPr>
          <w:rFonts w:ascii="Times New Roman" w:hAnsi="Times New Roman" w:cs="Times New Roman"/>
          <w:sz w:val="24"/>
          <w:szCs w:val="24"/>
        </w:rPr>
        <w:t>gruwelijke aanslagen</w:t>
      </w:r>
      <w:r w:rsidRPr="00A20DC6">
        <w:rPr>
          <w:rFonts w:ascii="Times New Roman" w:hAnsi="Times New Roman" w:cs="Times New Roman"/>
          <w:sz w:val="24"/>
          <w:szCs w:val="24"/>
        </w:rPr>
        <w:t xml:space="preserve"> die vele slachtoffers hebben gemaakt. </w:t>
      </w:r>
      <w:r w:rsidR="00FC1286" w:rsidRPr="00A20DC6">
        <w:rPr>
          <w:rFonts w:ascii="Times New Roman" w:hAnsi="Times New Roman" w:cs="Times New Roman"/>
          <w:sz w:val="24"/>
          <w:szCs w:val="24"/>
        </w:rPr>
        <w:t>Daarbij</w:t>
      </w:r>
      <w:r w:rsidR="00482305" w:rsidRPr="00A20DC6">
        <w:rPr>
          <w:rFonts w:ascii="Times New Roman" w:hAnsi="Times New Roman" w:cs="Times New Roman"/>
          <w:sz w:val="24"/>
          <w:szCs w:val="24"/>
        </w:rPr>
        <w:t xml:space="preserve"> is sprake van </w:t>
      </w:r>
      <w:r w:rsidR="00FC1286" w:rsidRPr="00A20DC6">
        <w:rPr>
          <w:rFonts w:ascii="Times New Roman" w:hAnsi="Times New Roman" w:cs="Times New Roman"/>
          <w:sz w:val="24"/>
          <w:szCs w:val="24"/>
        </w:rPr>
        <w:t xml:space="preserve">nieuwe </w:t>
      </w:r>
      <w:r w:rsidR="00482305" w:rsidRPr="00A20DC6">
        <w:rPr>
          <w:rFonts w:ascii="Times New Roman" w:hAnsi="Times New Roman" w:cs="Times New Roman"/>
          <w:sz w:val="24"/>
          <w:szCs w:val="24"/>
        </w:rPr>
        <w:t>verschijningsvormen van terrorisme</w:t>
      </w:r>
      <w:r w:rsidR="005B5C5C" w:rsidRPr="00A20DC6">
        <w:rPr>
          <w:rFonts w:ascii="Times New Roman" w:hAnsi="Times New Roman" w:cs="Times New Roman"/>
          <w:sz w:val="24"/>
          <w:szCs w:val="24"/>
        </w:rPr>
        <w:t xml:space="preserve"> </w:t>
      </w:r>
      <w:r w:rsidR="00896B09" w:rsidRPr="00A20DC6">
        <w:rPr>
          <w:rFonts w:ascii="Times New Roman" w:hAnsi="Times New Roman" w:cs="Times New Roman"/>
          <w:sz w:val="24"/>
          <w:szCs w:val="24"/>
        </w:rPr>
        <w:t xml:space="preserve">en verschijningsvormen </w:t>
      </w:r>
      <w:r w:rsidR="005B5C5C" w:rsidRPr="00A20DC6">
        <w:rPr>
          <w:rFonts w:ascii="Times New Roman" w:hAnsi="Times New Roman" w:cs="Times New Roman"/>
          <w:sz w:val="24"/>
          <w:szCs w:val="24"/>
        </w:rPr>
        <w:t xml:space="preserve">die eerder minder </w:t>
      </w:r>
      <w:r w:rsidR="00896B09" w:rsidRPr="00A20DC6">
        <w:rPr>
          <w:rFonts w:ascii="Times New Roman" w:hAnsi="Times New Roman" w:cs="Times New Roman"/>
          <w:sz w:val="24"/>
          <w:szCs w:val="24"/>
        </w:rPr>
        <w:t xml:space="preserve">vaak </w:t>
      </w:r>
      <w:r w:rsidR="00A053D8" w:rsidRPr="00A20DC6">
        <w:rPr>
          <w:rFonts w:ascii="Times New Roman" w:hAnsi="Times New Roman" w:cs="Times New Roman"/>
          <w:sz w:val="24"/>
          <w:szCs w:val="24"/>
        </w:rPr>
        <w:t>voorkwamen,</w:t>
      </w:r>
      <w:r w:rsidR="00482305" w:rsidRPr="00A20DC6">
        <w:rPr>
          <w:rFonts w:ascii="Times New Roman" w:hAnsi="Times New Roman" w:cs="Times New Roman"/>
          <w:sz w:val="24"/>
          <w:szCs w:val="24"/>
        </w:rPr>
        <w:t xml:space="preserve"> zoals het plege</w:t>
      </w:r>
      <w:r w:rsidR="00BD23A1" w:rsidRPr="00A20DC6">
        <w:rPr>
          <w:rFonts w:ascii="Times New Roman" w:hAnsi="Times New Roman" w:cs="Times New Roman"/>
          <w:sz w:val="24"/>
          <w:szCs w:val="24"/>
        </w:rPr>
        <w:t>n van aanslagen</w:t>
      </w:r>
      <w:r w:rsidR="00A81B89" w:rsidRPr="00A20DC6">
        <w:rPr>
          <w:rFonts w:ascii="Times New Roman" w:hAnsi="Times New Roman" w:cs="Times New Roman"/>
          <w:sz w:val="24"/>
          <w:szCs w:val="24"/>
        </w:rPr>
        <w:t xml:space="preserve"> door ger</w:t>
      </w:r>
      <w:r w:rsidR="00BA6FB6" w:rsidRPr="00A20DC6">
        <w:rPr>
          <w:rFonts w:ascii="Times New Roman" w:hAnsi="Times New Roman" w:cs="Times New Roman"/>
          <w:sz w:val="24"/>
          <w:szCs w:val="24"/>
        </w:rPr>
        <w:t>adicaliseerde solistische daders</w:t>
      </w:r>
      <w:r w:rsidR="00A053D8" w:rsidRPr="00A20DC6">
        <w:rPr>
          <w:rFonts w:ascii="Times New Roman" w:hAnsi="Times New Roman" w:cs="Times New Roman"/>
          <w:sz w:val="24"/>
          <w:szCs w:val="24"/>
        </w:rPr>
        <w:t>,</w:t>
      </w:r>
      <w:r w:rsidR="007A1914" w:rsidRPr="00A20DC6">
        <w:rPr>
          <w:rFonts w:ascii="Times New Roman" w:hAnsi="Times New Roman" w:cs="Times New Roman"/>
          <w:sz w:val="24"/>
          <w:szCs w:val="24"/>
        </w:rPr>
        <w:t xml:space="preserve"> </w:t>
      </w:r>
      <w:r w:rsidR="000A4BBE" w:rsidRPr="00A20DC6">
        <w:rPr>
          <w:rFonts w:ascii="Times New Roman" w:hAnsi="Times New Roman" w:cs="Times New Roman"/>
          <w:sz w:val="24"/>
          <w:szCs w:val="24"/>
        </w:rPr>
        <w:t>het plegen van aanslagen door personen die zijn terug</w:t>
      </w:r>
      <w:r w:rsidR="0084726F" w:rsidRPr="00A20DC6">
        <w:rPr>
          <w:rFonts w:ascii="Times New Roman" w:hAnsi="Times New Roman" w:cs="Times New Roman"/>
          <w:sz w:val="24"/>
          <w:szCs w:val="24"/>
        </w:rPr>
        <w:t>gekeerd</w:t>
      </w:r>
      <w:r w:rsidR="00896B09" w:rsidRPr="00A20DC6">
        <w:rPr>
          <w:rFonts w:ascii="Times New Roman" w:hAnsi="Times New Roman" w:cs="Times New Roman"/>
          <w:sz w:val="24"/>
          <w:szCs w:val="24"/>
        </w:rPr>
        <w:t xml:space="preserve"> uit strijdgebieden </w:t>
      </w:r>
      <w:r w:rsidR="009B19DB" w:rsidRPr="00A20DC6">
        <w:rPr>
          <w:rFonts w:ascii="Times New Roman" w:hAnsi="Times New Roman" w:cs="Times New Roman"/>
          <w:sz w:val="24"/>
          <w:szCs w:val="24"/>
        </w:rPr>
        <w:t xml:space="preserve">in het Midden-Oosten </w:t>
      </w:r>
      <w:r w:rsidR="007A1914" w:rsidRPr="00A20DC6">
        <w:rPr>
          <w:rFonts w:ascii="Times New Roman" w:hAnsi="Times New Roman" w:cs="Times New Roman"/>
          <w:sz w:val="24"/>
          <w:szCs w:val="24"/>
        </w:rPr>
        <w:t>en he</w:t>
      </w:r>
      <w:r w:rsidR="00A053D8" w:rsidRPr="00A20DC6">
        <w:rPr>
          <w:rFonts w:ascii="Times New Roman" w:hAnsi="Times New Roman" w:cs="Times New Roman"/>
          <w:sz w:val="24"/>
          <w:szCs w:val="24"/>
        </w:rPr>
        <w:t xml:space="preserve">t gecoördineerde </w:t>
      </w:r>
      <w:r w:rsidR="00FA0E02" w:rsidRPr="00A20DC6">
        <w:rPr>
          <w:rFonts w:ascii="Times New Roman" w:hAnsi="Times New Roman" w:cs="Times New Roman"/>
          <w:sz w:val="24"/>
          <w:szCs w:val="24"/>
        </w:rPr>
        <w:t xml:space="preserve">reizen van personen </w:t>
      </w:r>
      <w:r w:rsidR="00305D5E" w:rsidRPr="00A20DC6">
        <w:rPr>
          <w:rFonts w:ascii="Times New Roman" w:hAnsi="Times New Roman" w:cs="Times New Roman"/>
          <w:sz w:val="24"/>
          <w:szCs w:val="24"/>
        </w:rPr>
        <w:t>naar Europa</w:t>
      </w:r>
      <w:r w:rsidR="00B963B8" w:rsidRPr="00A20DC6">
        <w:rPr>
          <w:rFonts w:ascii="Times New Roman" w:hAnsi="Times New Roman" w:cs="Times New Roman"/>
          <w:sz w:val="24"/>
          <w:szCs w:val="24"/>
        </w:rPr>
        <w:t xml:space="preserve"> </w:t>
      </w:r>
      <w:r w:rsidR="00A053D8" w:rsidRPr="00A20DC6">
        <w:rPr>
          <w:rFonts w:ascii="Times New Roman" w:hAnsi="Times New Roman" w:cs="Times New Roman"/>
          <w:sz w:val="24"/>
          <w:szCs w:val="24"/>
        </w:rPr>
        <w:t>om</w:t>
      </w:r>
      <w:r w:rsidR="00FA0E02" w:rsidRPr="00A20DC6">
        <w:rPr>
          <w:rFonts w:ascii="Times New Roman" w:hAnsi="Times New Roman" w:cs="Times New Roman"/>
          <w:sz w:val="24"/>
          <w:szCs w:val="24"/>
        </w:rPr>
        <w:t xml:space="preserve"> </w:t>
      </w:r>
      <w:r w:rsidR="00A053D8" w:rsidRPr="00A20DC6">
        <w:rPr>
          <w:rFonts w:ascii="Times New Roman" w:hAnsi="Times New Roman" w:cs="Times New Roman"/>
          <w:sz w:val="24"/>
          <w:szCs w:val="24"/>
        </w:rPr>
        <w:t xml:space="preserve">daar </w:t>
      </w:r>
      <w:r w:rsidR="00FA0E02" w:rsidRPr="00A20DC6">
        <w:rPr>
          <w:rFonts w:ascii="Times New Roman" w:hAnsi="Times New Roman" w:cs="Times New Roman"/>
          <w:sz w:val="24"/>
          <w:szCs w:val="24"/>
        </w:rPr>
        <w:t>op later moment</w:t>
      </w:r>
      <w:r w:rsidR="00B963B8" w:rsidRPr="00A20DC6">
        <w:rPr>
          <w:rFonts w:ascii="Times New Roman" w:hAnsi="Times New Roman" w:cs="Times New Roman"/>
          <w:sz w:val="24"/>
          <w:szCs w:val="24"/>
        </w:rPr>
        <w:t xml:space="preserve"> </w:t>
      </w:r>
      <w:r w:rsidR="0057663B" w:rsidRPr="00A20DC6">
        <w:rPr>
          <w:rFonts w:ascii="Times New Roman" w:hAnsi="Times New Roman" w:cs="Times New Roman"/>
          <w:sz w:val="24"/>
          <w:szCs w:val="24"/>
        </w:rPr>
        <w:t>aanslagen</w:t>
      </w:r>
      <w:r w:rsidR="00FA0E02" w:rsidRPr="00A20DC6">
        <w:rPr>
          <w:rFonts w:ascii="Times New Roman" w:hAnsi="Times New Roman" w:cs="Times New Roman"/>
          <w:sz w:val="24"/>
          <w:szCs w:val="24"/>
        </w:rPr>
        <w:t xml:space="preserve"> </w:t>
      </w:r>
      <w:r w:rsidR="00A053D8" w:rsidRPr="00A20DC6">
        <w:rPr>
          <w:rFonts w:ascii="Times New Roman" w:hAnsi="Times New Roman" w:cs="Times New Roman"/>
          <w:sz w:val="24"/>
          <w:szCs w:val="24"/>
        </w:rPr>
        <w:t xml:space="preserve">te </w:t>
      </w:r>
      <w:r w:rsidR="00FA0E02" w:rsidRPr="00A20DC6">
        <w:rPr>
          <w:rFonts w:ascii="Times New Roman" w:hAnsi="Times New Roman" w:cs="Times New Roman"/>
          <w:sz w:val="24"/>
          <w:szCs w:val="24"/>
        </w:rPr>
        <w:t>plegen</w:t>
      </w:r>
      <w:r w:rsidR="0057663B" w:rsidRPr="00A20DC6">
        <w:rPr>
          <w:rFonts w:ascii="Times New Roman" w:hAnsi="Times New Roman" w:cs="Times New Roman"/>
          <w:sz w:val="24"/>
          <w:szCs w:val="24"/>
        </w:rPr>
        <w:t xml:space="preserve">. </w:t>
      </w:r>
    </w:p>
    <w:p w:rsidR="00F82BAC" w:rsidRPr="00A20DC6" w:rsidRDefault="00F82BAC" w:rsidP="00FC1286">
      <w:pPr>
        <w:pStyle w:val="NoSpacing"/>
        <w:rPr>
          <w:rFonts w:ascii="Times New Roman" w:hAnsi="Times New Roman" w:cs="Times New Roman"/>
          <w:sz w:val="24"/>
          <w:szCs w:val="24"/>
        </w:rPr>
      </w:pPr>
    </w:p>
    <w:p w:rsidR="00F82BAC" w:rsidRPr="00A20DC6" w:rsidRDefault="00F82BAC" w:rsidP="00F727B3">
      <w:pPr>
        <w:pStyle w:val="NoSpacing"/>
        <w:rPr>
          <w:rFonts w:ascii="Times New Roman" w:hAnsi="Times New Roman" w:cs="Times New Roman"/>
          <w:sz w:val="24"/>
          <w:szCs w:val="24"/>
        </w:rPr>
      </w:pPr>
      <w:r w:rsidRPr="00A20DC6">
        <w:rPr>
          <w:rFonts w:ascii="Times New Roman" w:hAnsi="Times New Roman" w:cs="Times New Roman"/>
          <w:sz w:val="24"/>
          <w:szCs w:val="24"/>
        </w:rPr>
        <w:t xml:space="preserve">Op het kabinet rust de verplichting om – binnen de grenzen van ons recht – alles in het werk te stellen om het plegen van geweldsdaden te voorkomen. In het kader daarvan wordt ook continu bekeken of ontwikkelingen in </w:t>
      </w:r>
      <w:r w:rsidRPr="00CB33AE">
        <w:rPr>
          <w:rFonts w:ascii="Times New Roman" w:hAnsi="Times New Roman" w:cs="Times New Roman"/>
          <w:sz w:val="24"/>
          <w:szCs w:val="24"/>
        </w:rPr>
        <w:t xml:space="preserve">de terroristische dreiging of </w:t>
      </w:r>
      <w:r w:rsidR="007A3028" w:rsidRPr="00CB33AE">
        <w:rPr>
          <w:rFonts w:ascii="Times New Roman" w:hAnsi="Times New Roman" w:cs="Times New Roman"/>
          <w:sz w:val="24"/>
          <w:szCs w:val="24"/>
        </w:rPr>
        <w:t xml:space="preserve">in de praktijk van opsporing, </w:t>
      </w:r>
      <w:r w:rsidRPr="00CB33AE">
        <w:rPr>
          <w:rFonts w:ascii="Times New Roman" w:hAnsi="Times New Roman" w:cs="Times New Roman"/>
          <w:sz w:val="24"/>
          <w:szCs w:val="24"/>
        </w:rPr>
        <w:t xml:space="preserve">vervolging </w:t>
      </w:r>
      <w:r w:rsidR="007A3028" w:rsidRPr="00CB33AE">
        <w:rPr>
          <w:rFonts w:ascii="Times New Roman" w:hAnsi="Times New Roman" w:cs="Times New Roman"/>
          <w:sz w:val="24"/>
          <w:szCs w:val="24"/>
        </w:rPr>
        <w:t xml:space="preserve">en berechting </w:t>
      </w:r>
      <w:r w:rsidRPr="00CB33AE">
        <w:rPr>
          <w:rFonts w:ascii="Times New Roman" w:hAnsi="Times New Roman" w:cs="Times New Roman"/>
          <w:sz w:val="24"/>
          <w:szCs w:val="24"/>
        </w:rPr>
        <w:t xml:space="preserve">noodzaken tot aanpassing van het wettelijke instrumentarium. Dit wetsvoorstel bevat in dat verband een serie maatregelen die na zorgvuldige afweging van nut en noodzaak, </w:t>
      </w:r>
      <w:r w:rsidR="009A12D3" w:rsidRPr="00CB33AE">
        <w:rPr>
          <w:rFonts w:ascii="Times New Roman" w:hAnsi="Times New Roman" w:cs="Times New Roman"/>
          <w:sz w:val="24"/>
          <w:szCs w:val="24"/>
        </w:rPr>
        <w:t xml:space="preserve">en </w:t>
      </w:r>
      <w:r w:rsidR="00F40979" w:rsidRPr="00CB33AE">
        <w:rPr>
          <w:rFonts w:ascii="Times New Roman" w:hAnsi="Times New Roman" w:cs="Times New Roman"/>
          <w:sz w:val="24"/>
          <w:szCs w:val="24"/>
        </w:rPr>
        <w:t xml:space="preserve">met </w:t>
      </w:r>
      <w:r w:rsidR="009A12D3" w:rsidRPr="00CB33AE">
        <w:rPr>
          <w:rFonts w:ascii="Times New Roman" w:hAnsi="Times New Roman" w:cs="Times New Roman"/>
          <w:sz w:val="24"/>
          <w:szCs w:val="24"/>
        </w:rPr>
        <w:t xml:space="preserve">het </w:t>
      </w:r>
      <w:r w:rsidR="00F40979" w:rsidRPr="00CB33AE">
        <w:rPr>
          <w:rFonts w:ascii="Times New Roman" w:hAnsi="Times New Roman" w:cs="Times New Roman"/>
          <w:sz w:val="24"/>
          <w:szCs w:val="24"/>
        </w:rPr>
        <w:t xml:space="preserve">behoud van fundamentele rechten van personen, </w:t>
      </w:r>
      <w:r w:rsidRPr="00CB33AE">
        <w:rPr>
          <w:rFonts w:ascii="Times New Roman" w:hAnsi="Times New Roman" w:cs="Times New Roman"/>
          <w:sz w:val="24"/>
          <w:szCs w:val="24"/>
        </w:rPr>
        <w:t>een bijdrage kunnen leveren aan verbetering van de strafrechtelijke en strafvorde</w:t>
      </w:r>
      <w:r w:rsidR="00940828" w:rsidRPr="00CB33AE">
        <w:rPr>
          <w:rFonts w:ascii="Times New Roman" w:hAnsi="Times New Roman" w:cs="Times New Roman"/>
          <w:sz w:val="24"/>
          <w:szCs w:val="24"/>
        </w:rPr>
        <w:t>rlijke mogelijkheden om effectief</w:t>
      </w:r>
      <w:r w:rsidRPr="00CB33AE">
        <w:rPr>
          <w:rFonts w:ascii="Times New Roman" w:hAnsi="Times New Roman" w:cs="Times New Roman"/>
          <w:sz w:val="24"/>
          <w:szCs w:val="24"/>
        </w:rPr>
        <w:t xml:space="preserve"> op te treden tegen verschillende verschijningsvormen van terrorisme.</w:t>
      </w:r>
      <w:r w:rsidR="00305D5E" w:rsidRPr="00CB33AE">
        <w:rPr>
          <w:rFonts w:ascii="Times New Roman" w:hAnsi="Times New Roman" w:cs="Times New Roman"/>
          <w:sz w:val="24"/>
          <w:szCs w:val="24"/>
        </w:rPr>
        <w:t xml:space="preserve"> </w:t>
      </w:r>
      <w:r w:rsidR="00A04F3B" w:rsidRPr="00CB33AE">
        <w:rPr>
          <w:rFonts w:ascii="Times New Roman" w:hAnsi="Times New Roman" w:cs="Times New Roman"/>
          <w:sz w:val="24"/>
          <w:szCs w:val="24"/>
        </w:rPr>
        <w:t>Dez</w:t>
      </w:r>
      <w:r w:rsidR="00EE6405" w:rsidRPr="00CB33AE">
        <w:rPr>
          <w:rFonts w:ascii="Times New Roman" w:hAnsi="Times New Roman" w:cs="Times New Roman"/>
          <w:sz w:val="24"/>
          <w:szCs w:val="24"/>
        </w:rPr>
        <w:t xml:space="preserve">e </w:t>
      </w:r>
      <w:r w:rsidR="00A04F3B" w:rsidRPr="00CB33AE">
        <w:rPr>
          <w:rFonts w:ascii="Times New Roman" w:hAnsi="Times New Roman" w:cs="Times New Roman"/>
          <w:sz w:val="24"/>
          <w:szCs w:val="24"/>
        </w:rPr>
        <w:t xml:space="preserve">maatregelen zijn vooral erop gericht te </w:t>
      </w:r>
      <w:r w:rsidR="00EE6405" w:rsidRPr="00CB33AE">
        <w:rPr>
          <w:rFonts w:ascii="Times New Roman" w:hAnsi="Times New Roman" w:cs="Times New Roman"/>
          <w:sz w:val="24"/>
          <w:szCs w:val="24"/>
        </w:rPr>
        <w:t>voorkomen dat</w:t>
      </w:r>
      <w:r w:rsidR="00A04F3B" w:rsidRPr="00CB33AE">
        <w:rPr>
          <w:rFonts w:ascii="Times New Roman" w:hAnsi="Times New Roman" w:cs="Times New Roman"/>
          <w:sz w:val="24"/>
          <w:szCs w:val="24"/>
        </w:rPr>
        <w:t xml:space="preserve"> op cruciale momenten wettelijke bevoegdheden voor de adequate</w:t>
      </w:r>
      <w:r w:rsidR="00EE6405" w:rsidRPr="00CB33AE">
        <w:rPr>
          <w:rFonts w:ascii="Times New Roman" w:hAnsi="Times New Roman" w:cs="Times New Roman"/>
          <w:sz w:val="24"/>
          <w:szCs w:val="24"/>
        </w:rPr>
        <w:t xml:space="preserve"> opsporing en vervolging van terroristische mis</w:t>
      </w:r>
      <w:r w:rsidR="00A04F3B" w:rsidRPr="00CB33AE">
        <w:rPr>
          <w:rFonts w:ascii="Times New Roman" w:hAnsi="Times New Roman" w:cs="Times New Roman"/>
          <w:sz w:val="24"/>
          <w:szCs w:val="24"/>
        </w:rPr>
        <w:t xml:space="preserve">drijven </w:t>
      </w:r>
      <w:r w:rsidR="00EE6405" w:rsidRPr="00CB33AE">
        <w:rPr>
          <w:rFonts w:ascii="Times New Roman" w:hAnsi="Times New Roman" w:cs="Times New Roman"/>
          <w:sz w:val="24"/>
          <w:szCs w:val="24"/>
        </w:rPr>
        <w:t xml:space="preserve">zouden ontbreken. </w:t>
      </w:r>
      <w:r w:rsidRPr="00CB33AE">
        <w:rPr>
          <w:rFonts w:ascii="Times New Roman" w:hAnsi="Times New Roman" w:cs="Times New Roman"/>
          <w:sz w:val="24"/>
          <w:szCs w:val="24"/>
        </w:rPr>
        <w:t>Het gaat</w:t>
      </w:r>
      <w:r w:rsidRPr="00A20DC6">
        <w:rPr>
          <w:rFonts w:ascii="Times New Roman" w:hAnsi="Times New Roman" w:cs="Times New Roman"/>
          <w:sz w:val="24"/>
          <w:szCs w:val="24"/>
        </w:rPr>
        <w:t xml:space="preserve"> om het verlengen van de mogelijkheid om verdachten van terroristische misdrijven in voorlopige hechtenis te nemen, het verruimen</w:t>
      </w:r>
      <w:r w:rsidR="00CD3DF9" w:rsidRPr="00A20DC6">
        <w:rPr>
          <w:rFonts w:ascii="Times New Roman" w:hAnsi="Times New Roman" w:cs="Times New Roman"/>
          <w:sz w:val="24"/>
          <w:szCs w:val="24"/>
        </w:rPr>
        <w:t xml:space="preserve"> van mogelijkheden om celmateriaal</w:t>
      </w:r>
      <w:r w:rsidRPr="00A20DC6">
        <w:rPr>
          <w:rFonts w:ascii="Times New Roman" w:hAnsi="Times New Roman" w:cs="Times New Roman"/>
          <w:sz w:val="24"/>
          <w:szCs w:val="24"/>
        </w:rPr>
        <w:t xml:space="preserve"> </w:t>
      </w:r>
      <w:r w:rsidR="00CD3DF9" w:rsidRPr="00A20DC6">
        <w:rPr>
          <w:rFonts w:ascii="Times New Roman" w:hAnsi="Times New Roman" w:cs="Times New Roman"/>
          <w:sz w:val="24"/>
          <w:szCs w:val="24"/>
        </w:rPr>
        <w:t xml:space="preserve">ten behoeve van DNA-onderzoek </w:t>
      </w:r>
      <w:r w:rsidRPr="00A20DC6">
        <w:rPr>
          <w:rFonts w:ascii="Times New Roman" w:hAnsi="Times New Roman" w:cs="Times New Roman"/>
          <w:sz w:val="24"/>
          <w:szCs w:val="24"/>
        </w:rPr>
        <w:t xml:space="preserve">af te nemen bij verdachten van terroristische misdrijven en de invoering van een brede aangifteplicht voor een ieder die kennis draagt van terroristische misdrijven, inclusief de voorbereiding daarvan. </w:t>
      </w:r>
      <w:r w:rsidR="003B5242" w:rsidRPr="00A20DC6">
        <w:rPr>
          <w:rFonts w:ascii="Times New Roman" w:hAnsi="Times New Roman" w:cs="Times New Roman"/>
          <w:sz w:val="24"/>
          <w:szCs w:val="24"/>
        </w:rPr>
        <w:t xml:space="preserve">Tevens </w:t>
      </w:r>
      <w:r w:rsidRPr="00A20DC6">
        <w:rPr>
          <w:rFonts w:ascii="Times New Roman" w:hAnsi="Times New Roman" w:cs="Times New Roman"/>
          <w:sz w:val="24"/>
          <w:szCs w:val="24"/>
        </w:rPr>
        <w:t>wordt een aantal wijzigingen van materieelst</w:t>
      </w:r>
      <w:r w:rsidR="00F727B3">
        <w:rPr>
          <w:rFonts w:ascii="Times New Roman" w:hAnsi="Times New Roman" w:cs="Times New Roman"/>
          <w:sz w:val="24"/>
          <w:szCs w:val="24"/>
        </w:rPr>
        <w:t>rafrechtelijke aard voorgesteld</w:t>
      </w:r>
      <w:r w:rsidRPr="00A20DC6">
        <w:rPr>
          <w:rFonts w:ascii="Times New Roman" w:hAnsi="Times New Roman" w:cs="Times New Roman"/>
          <w:sz w:val="24"/>
          <w:szCs w:val="24"/>
        </w:rPr>
        <w:t xml:space="preserve">. </w:t>
      </w:r>
    </w:p>
    <w:p w:rsidR="00F82BAC" w:rsidRPr="00A20DC6" w:rsidRDefault="00F82BAC" w:rsidP="00F82BAC">
      <w:pPr>
        <w:pStyle w:val="NoSpacing"/>
        <w:rPr>
          <w:rFonts w:ascii="Times New Roman" w:hAnsi="Times New Roman" w:cs="Times New Roman"/>
          <w:sz w:val="24"/>
          <w:szCs w:val="24"/>
        </w:rPr>
      </w:pPr>
    </w:p>
    <w:p w:rsidR="00FD7D8A" w:rsidRPr="00A20DC6" w:rsidRDefault="00BA6FB6" w:rsidP="00CD3DF9">
      <w:pPr>
        <w:pStyle w:val="NoSpacing"/>
        <w:rPr>
          <w:rFonts w:ascii="Times New Roman" w:hAnsi="Times New Roman" w:cs="Times New Roman"/>
          <w:sz w:val="24"/>
          <w:szCs w:val="24"/>
        </w:rPr>
      </w:pPr>
      <w:r w:rsidRPr="00A20DC6">
        <w:rPr>
          <w:rFonts w:ascii="Times New Roman" w:hAnsi="Times New Roman" w:cs="Times New Roman"/>
          <w:sz w:val="24"/>
          <w:szCs w:val="24"/>
        </w:rPr>
        <w:t>Het kabinet werkt aan het tegengaan van de terroristische dreiging door middel van</w:t>
      </w:r>
      <w:r w:rsidR="00690687" w:rsidRPr="00A20DC6">
        <w:rPr>
          <w:rFonts w:ascii="Times New Roman" w:hAnsi="Times New Roman" w:cs="Times New Roman"/>
          <w:sz w:val="24"/>
          <w:szCs w:val="24"/>
        </w:rPr>
        <w:t xml:space="preserve"> een breed scala v</w:t>
      </w:r>
      <w:r w:rsidR="0057663B" w:rsidRPr="00A20DC6">
        <w:rPr>
          <w:rFonts w:ascii="Times New Roman" w:hAnsi="Times New Roman" w:cs="Times New Roman"/>
          <w:sz w:val="24"/>
          <w:szCs w:val="24"/>
        </w:rPr>
        <w:t>an onderling gecoördineerde preventieve en</w:t>
      </w:r>
      <w:r w:rsidR="00482305" w:rsidRPr="00A20DC6">
        <w:rPr>
          <w:rFonts w:ascii="Times New Roman" w:hAnsi="Times New Roman" w:cs="Times New Roman"/>
          <w:sz w:val="24"/>
          <w:szCs w:val="24"/>
        </w:rPr>
        <w:t xml:space="preserve"> repressieve maatregelen. De basis daarvoor is gelegd in het Actieprogramma integrale </w:t>
      </w:r>
      <w:r w:rsidR="0057663B" w:rsidRPr="00A20DC6">
        <w:rPr>
          <w:rFonts w:ascii="Times New Roman" w:hAnsi="Times New Roman" w:cs="Times New Roman"/>
          <w:sz w:val="24"/>
          <w:szCs w:val="24"/>
        </w:rPr>
        <w:t>aanpak jihadisme</w:t>
      </w:r>
      <w:r w:rsidR="002960CC" w:rsidRPr="00A20DC6">
        <w:rPr>
          <w:rFonts w:ascii="Times New Roman" w:hAnsi="Times New Roman" w:cs="Times New Roman"/>
          <w:sz w:val="24"/>
          <w:szCs w:val="24"/>
        </w:rPr>
        <w:t xml:space="preserve"> (bijlage bij Kamerstuk II 2013/14, 29 754, nr. 253)</w:t>
      </w:r>
      <w:r w:rsidR="00482305" w:rsidRPr="00A20DC6">
        <w:rPr>
          <w:rFonts w:ascii="Times New Roman" w:hAnsi="Times New Roman" w:cs="Times New Roman"/>
          <w:sz w:val="24"/>
          <w:szCs w:val="24"/>
        </w:rPr>
        <w:t xml:space="preserve">. Wat betreft de strafrechtelijke maatregelen en strafvorderlijke mogelijkheden </w:t>
      </w:r>
      <w:r w:rsidR="00455E47" w:rsidRPr="00A20DC6">
        <w:rPr>
          <w:rFonts w:ascii="Times New Roman" w:hAnsi="Times New Roman" w:cs="Times New Roman"/>
          <w:sz w:val="24"/>
          <w:szCs w:val="24"/>
        </w:rPr>
        <w:t xml:space="preserve">tot bestrijding van terrorisme </w:t>
      </w:r>
      <w:r w:rsidR="00482305" w:rsidRPr="00A20DC6">
        <w:rPr>
          <w:rFonts w:ascii="Times New Roman" w:hAnsi="Times New Roman" w:cs="Times New Roman"/>
          <w:sz w:val="24"/>
          <w:szCs w:val="24"/>
        </w:rPr>
        <w:t xml:space="preserve">geldt dat deze in het afgelopen decennium </w:t>
      </w:r>
      <w:r w:rsidR="00455E47" w:rsidRPr="00A20DC6">
        <w:rPr>
          <w:rFonts w:ascii="Times New Roman" w:hAnsi="Times New Roman" w:cs="Times New Roman"/>
          <w:sz w:val="24"/>
          <w:szCs w:val="24"/>
        </w:rPr>
        <w:t xml:space="preserve">reeds verscheidende malen </w:t>
      </w:r>
      <w:r w:rsidR="0057663B" w:rsidRPr="00A20DC6">
        <w:rPr>
          <w:rFonts w:ascii="Times New Roman" w:hAnsi="Times New Roman" w:cs="Times New Roman"/>
          <w:sz w:val="24"/>
          <w:szCs w:val="24"/>
        </w:rPr>
        <w:t xml:space="preserve">zijn uitgebreid. </w:t>
      </w:r>
      <w:r w:rsidR="00455E47" w:rsidRPr="00A20DC6">
        <w:rPr>
          <w:rFonts w:ascii="Times New Roman" w:hAnsi="Times New Roman" w:cs="Times New Roman"/>
          <w:sz w:val="24"/>
          <w:szCs w:val="24"/>
        </w:rPr>
        <w:t xml:space="preserve">Dit heeft eraan bijgedragen dat </w:t>
      </w:r>
      <w:r w:rsidR="00FC1286" w:rsidRPr="00A20DC6">
        <w:rPr>
          <w:rFonts w:ascii="Times New Roman" w:hAnsi="Times New Roman" w:cs="Times New Roman"/>
          <w:sz w:val="24"/>
          <w:szCs w:val="24"/>
        </w:rPr>
        <w:t xml:space="preserve">de politie en het openbaar </w:t>
      </w:r>
      <w:r w:rsidR="00FA0E02" w:rsidRPr="00A20DC6">
        <w:rPr>
          <w:rFonts w:ascii="Times New Roman" w:hAnsi="Times New Roman" w:cs="Times New Roman"/>
          <w:sz w:val="24"/>
          <w:szCs w:val="24"/>
        </w:rPr>
        <w:t xml:space="preserve">ministerie </w:t>
      </w:r>
      <w:r w:rsidR="00FC1286" w:rsidRPr="00A20DC6">
        <w:rPr>
          <w:rFonts w:ascii="Times New Roman" w:hAnsi="Times New Roman" w:cs="Times New Roman"/>
          <w:sz w:val="24"/>
          <w:szCs w:val="24"/>
        </w:rPr>
        <w:t>beschikken o</w:t>
      </w:r>
      <w:r w:rsidR="00CD3DF9" w:rsidRPr="00A20DC6">
        <w:rPr>
          <w:rFonts w:ascii="Times New Roman" w:hAnsi="Times New Roman" w:cs="Times New Roman"/>
          <w:sz w:val="24"/>
          <w:szCs w:val="24"/>
        </w:rPr>
        <w:t xml:space="preserve">ver uitgebreide bevoegdheden </w:t>
      </w:r>
      <w:r w:rsidR="0057663B" w:rsidRPr="00A20DC6">
        <w:rPr>
          <w:rFonts w:ascii="Times New Roman" w:hAnsi="Times New Roman" w:cs="Times New Roman"/>
          <w:sz w:val="24"/>
          <w:szCs w:val="24"/>
        </w:rPr>
        <w:t xml:space="preserve">die </w:t>
      </w:r>
      <w:r w:rsidR="00CD3DF9" w:rsidRPr="00A20DC6">
        <w:rPr>
          <w:rFonts w:ascii="Times New Roman" w:hAnsi="Times New Roman" w:cs="Times New Roman"/>
          <w:sz w:val="24"/>
          <w:szCs w:val="24"/>
        </w:rPr>
        <w:t xml:space="preserve">hen in staat stellen om verdachten die </w:t>
      </w:r>
      <w:r w:rsidR="0057663B" w:rsidRPr="00A20DC6">
        <w:rPr>
          <w:rFonts w:ascii="Times New Roman" w:hAnsi="Times New Roman" w:cs="Times New Roman"/>
          <w:sz w:val="24"/>
          <w:szCs w:val="24"/>
        </w:rPr>
        <w:t>zich schuldig m</w:t>
      </w:r>
      <w:r w:rsidR="00CD3DF9" w:rsidRPr="00A20DC6">
        <w:rPr>
          <w:rFonts w:ascii="Times New Roman" w:hAnsi="Times New Roman" w:cs="Times New Roman"/>
          <w:sz w:val="24"/>
          <w:szCs w:val="24"/>
        </w:rPr>
        <w:t>aken</w:t>
      </w:r>
      <w:r w:rsidR="0057663B" w:rsidRPr="00A20DC6">
        <w:rPr>
          <w:rFonts w:ascii="Times New Roman" w:hAnsi="Times New Roman" w:cs="Times New Roman"/>
          <w:sz w:val="24"/>
          <w:szCs w:val="24"/>
        </w:rPr>
        <w:t xml:space="preserve"> aan verschillende soorten </w:t>
      </w:r>
      <w:r w:rsidR="00FA0E02" w:rsidRPr="00A20DC6">
        <w:rPr>
          <w:rFonts w:ascii="Times New Roman" w:hAnsi="Times New Roman" w:cs="Times New Roman"/>
          <w:sz w:val="24"/>
          <w:szCs w:val="24"/>
        </w:rPr>
        <w:t xml:space="preserve">van </w:t>
      </w:r>
      <w:r w:rsidR="0057663B" w:rsidRPr="00A20DC6">
        <w:rPr>
          <w:rFonts w:ascii="Times New Roman" w:hAnsi="Times New Roman" w:cs="Times New Roman"/>
          <w:sz w:val="24"/>
          <w:szCs w:val="24"/>
        </w:rPr>
        <w:t>voorbereidingshandelingen voor terrorisme</w:t>
      </w:r>
      <w:r w:rsidR="00FC1286" w:rsidRPr="00A20DC6">
        <w:rPr>
          <w:rFonts w:ascii="Times New Roman" w:hAnsi="Times New Roman" w:cs="Times New Roman"/>
          <w:sz w:val="24"/>
          <w:szCs w:val="24"/>
        </w:rPr>
        <w:t xml:space="preserve"> op te sporen en te vervolgen. Verder kan t</w:t>
      </w:r>
      <w:r w:rsidR="0057663B" w:rsidRPr="00A20DC6">
        <w:rPr>
          <w:rFonts w:ascii="Times New Roman" w:hAnsi="Times New Roman" w:cs="Times New Roman"/>
          <w:sz w:val="24"/>
          <w:szCs w:val="24"/>
        </w:rPr>
        <w:t xml:space="preserve">ijdens de </w:t>
      </w:r>
      <w:r w:rsidR="00FC1286" w:rsidRPr="00A20DC6">
        <w:rPr>
          <w:rFonts w:ascii="Times New Roman" w:hAnsi="Times New Roman" w:cs="Times New Roman"/>
          <w:sz w:val="24"/>
          <w:szCs w:val="24"/>
        </w:rPr>
        <w:t>lopende onderhandelingen over de</w:t>
      </w:r>
      <w:r w:rsidR="0057663B" w:rsidRPr="00A20DC6">
        <w:rPr>
          <w:rFonts w:ascii="Times New Roman" w:hAnsi="Times New Roman" w:cs="Times New Roman"/>
          <w:sz w:val="24"/>
          <w:szCs w:val="24"/>
        </w:rPr>
        <w:t xml:space="preserve"> nieuwe EU-richtlijn t</w:t>
      </w:r>
      <w:r w:rsidR="00FA0E02" w:rsidRPr="00A20DC6">
        <w:rPr>
          <w:rFonts w:ascii="Times New Roman" w:hAnsi="Times New Roman" w:cs="Times New Roman"/>
          <w:sz w:val="24"/>
          <w:szCs w:val="24"/>
        </w:rPr>
        <w:t>errorisme</w:t>
      </w:r>
      <w:r w:rsidR="00FC1286" w:rsidRPr="00A20DC6">
        <w:rPr>
          <w:rFonts w:ascii="Times New Roman" w:hAnsi="Times New Roman" w:cs="Times New Roman"/>
          <w:sz w:val="24"/>
          <w:szCs w:val="24"/>
        </w:rPr>
        <w:t>bestrijding worden</w:t>
      </w:r>
      <w:r w:rsidR="00FA0E02" w:rsidRPr="00A20DC6">
        <w:rPr>
          <w:rFonts w:ascii="Times New Roman" w:hAnsi="Times New Roman" w:cs="Times New Roman"/>
          <w:sz w:val="24"/>
          <w:szCs w:val="24"/>
        </w:rPr>
        <w:t xml:space="preserve"> </w:t>
      </w:r>
      <w:r w:rsidR="0057663B" w:rsidRPr="00A20DC6">
        <w:rPr>
          <w:rFonts w:ascii="Times New Roman" w:hAnsi="Times New Roman" w:cs="Times New Roman"/>
          <w:sz w:val="24"/>
          <w:szCs w:val="24"/>
        </w:rPr>
        <w:t>vastgesteld dat de belangrijk</w:t>
      </w:r>
      <w:r w:rsidR="006F1FCB" w:rsidRPr="00A20DC6">
        <w:rPr>
          <w:rFonts w:ascii="Times New Roman" w:hAnsi="Times New Roman" w:cs="Times New Roman"/>
          <w:sz w:val="24"/>
          <w:szCs w:val="24"/>
        </w:rPr>
        <w:t>ste onderdelen van</w:t>
      </w:r>
      <w:r w:rsidR="00FA0E02" w:rsidRPr="00A20DC6">
        <w:rPr>
          <w:rFonts w:ascii="Times New Roman" w:hAnsi="Times New Roman" w:cs="Times New Roman"/>
          <w:sz w:val="24"/>
          <w:szCs w:val="24"/>
        </w:rPr>
        <w:t xml:space="preserve"> de concept-richtlijn </w:t>
      </w:r>
      <w:r w:rsidR="0057663B" w:rsidRPr="00A20DC6">
        <w:rPr>
          <w:rFonts w:ascii="Times New Roman" w:hAnsi="Times New Roman" w:cs="Times New Roman"/>
          <w:sz w:val="24"/>
          <w:szCs w:val="24"/>
        </w:rPr>
        <w:t xml:space="preserve">– zoals strafbaarstelling van zelfstudie </w:t>
      </w:r>
      <w:r w:rsidR="0057663B" w:rsidRPr="00A20DC6">
        <w:rPr>
          <w:rFonts w:ascii="Times New Roman" w:hAnsi="Times New Roman" w:cs="Times New Roman"/>
          <w:sz w:val="24"/>
          <w:szCs w:val="24"/>
        </w:rPr>
        <w:lastRenderedPageBreak/>
        <w:t xml:space="preserve">voor terrorisme, het financieren van terrorisme, </w:t>
      </w:r>
      <w:r w:rsidR="00A053D8" w:rsidRPr="00A20DC6">
        <w:rPr>
          <w:rFonts w:ascii="Times New Roman" w:hAnsi="Times New Roman" w:cs="Times New Roman"/>
          <w:sz w:val="24"/>
          <w:szCs w:val="24"/>
        </w:rPr>
        <w:t xml:space="preserve">en </w:t>
      </w:r>
      <w:r w:rsidR="0057663B" w:rsidRPr="00A20DC6">
        <w:rPr>
          <w:rFonts w:ascii="Times New Roman" w:hAnsi="Times New Roman" w:cs="Times New Roman"/>
          <w:sz w:val="24"/>
          <w:szCs w:val="24"/>
        </w:rPr>
        <w:t xml:space="preserve">reizen </w:t>
      </w:r>
      <w:r w:rsidR="006B30D6" w:rsidRPr="00A20DC6">
        <w:rPr>
          <w:rFonts w:ascii="Times New Roman" w:hAnsi="Times New Roman" w:cs="Times New Roman"/>
          <w:sz w:val="24"/>
          <w:szCs w:val="24"/>
        </w:rPr>
        <w:t xml:space="preserve">voor terroristische doeleinden </w:t>
      </w:r>
      <w:r w:rsidR="006F1FCB" w:rsidRPr="00A20DC6">
        <w:rPr>
          <w:rFonts w:ascii="Times New Roman" w:hAnsi="Times New Roman" w:cs="Times New Roman"/>
          <w:sz w:val="24"/>
          <w:szCs w:val="24"/>
        </w:rPr>
        <w:t xml:space="preserve">– </w:t>
      </w:r>
      <w:r w:rsidR="0057663B" w:rsidRPr="00A20DC6">
        <w:rPr>
          <w:rFonts w:ascii="Times New Roman" w:hAnsi="Times New Roman" w:cs="Times New Roman"/>
          <w:sz w:val="24"/>
          <w:szCs w:val="24"/>
        </w:rPr>
        <w:t xml:space="preserve">reeds strafbaar zijn op grond van de </w:t>
      </w:r>
      <w:r w:rsidR="006F1FCB" w:rsidRPr="00A20DC6">
        <w:rPr>
          <w:rFonts w:ascii="Times New Roman" w:hAnsi="Times New Roman" w:cs="Times New Roman"/>
          <w:sz w:val="24"/>
          <w:szCs w:val="24"/>
        </w:rPr>
        <w:t xml:space="preserve">bestaande </w:t>
      </w:r>
      <w:r w:rsidR="0057663B" w:rsidRPr="00A20DC6">
        <w:rPr>
          <w:rFonts w:ascii="Times New Roman" w:hAnsi="Times New Roman" w:cs="Times New Roman"/>
          <w:sz w:val="24"/>
          <w:szCs w:val="24"/>
        </w:rPr>
        <w:t>Nederlandse wetgeving.</w:t>
      </w:r>
      <w:r w:rsidR="00CD3DF9" w:rsidRPr="00A20DC6">
        <w:rPr>
          <w:rFonts w:ascii="Times New Roman" w:hAnsi="Times New Roman" w:cs="Times New Roman"/>
          <w:sz w:val="24"/>
          <w:szCs w:val="24"/>
        </w:rPr>
        <w:t xml:space="preserve"> Dit neemt niet weg dat de in dit wetsvoorste</w:t>
      </w:r>
      <w:r w:rsidR="00047A3B" w:rsidRPr="00A20DC6">
        <w:rPr>
          <w:rFonts w:ascii="Times New Roman" w:hAnsi="Times New Roman" w:cs="Times New Roman"/>
          <w:sz w:val="24"/>
          <w:szCs w:val="24"/>
        </w:rPr>
        <w:t>l voorgestelde maatregelen noodzakelijk</w:t>
      </w:r>
      <w:r w:rsidR="00CD3DF9" w:rsidRPr="00A20DC6">
        <w:rPr>
          <w:rFonts w:ascii="Times New Roman" w:hAnsi="Times New Roman" w:cs="Times New Roman"/>
          <w:sz w:val="24"/>
          <w:szCs w:val="24"/>
        </w:rPr>
        <w:t xml:space="preserve"> worden geacht om de ef</w:t>
      </w:r>
      <w:r w:rsidR="007A3028" w:rsidRPr="00A20DC6">
        <w:rPr>
          <w:rFonts w:ascii="Times New Roman" w:hAnsi="Times New Roman" w:cs="Times New Roman"/>
          <w:sz w:val="24"/>
          <w:szCs w:val="24"/>
        </w:rPr>
        <w:t xml:space="preserve">fectiviteit van de opsporing en </w:t>
      </w:r>
      <w:r w:rsidR="00CD3DF9" w:rsidRPr="00A20DC6">
        <w:rPr>
          <w:rFonts w:ascii="Times New Roman" w:hAnsi="Times New Roman" w:cs="Times New Roman"/>
          <w:sz w:val="24"/>
          <w:szCs w:val="24"/>
        </w:rPr>
        <w:t xml:space="preserve">vervolging van terroristische misdrijven te waarborgen en voor zover mogelijk aanslagen te voorkomen. Daarbij is nadrukkelijk </w:t>
      </w:r>
      <w:r w:rsidR="00FA0E02" w:rsidRPr="00A20DC6">
        <w:rPr>
          <w:rFonts w:ascii="Times New Roman" w:hAnsi="Times New Roman" w:cs="Times New Roman"/>
          <w:sz w:val="24"/>
          <w:szCs w:val="24"/>
        </w:rPr>
        <w:t>r</w:t>
      </w:r>
      <w:r w:rsidR="00CD3DF9" w:rsidRPr="00A20DC6">
        <w:rPr>
          <w:rFonts w:ascii="Times New Roman" w:hAnsi="Times New Roman" w:cs="Times New Roman"/>
          <w:sz w:val="24"/>
          <w:szCs w:val="24"/>
        </w:rPr>
        <w:t xml:space="preserve">ekening gehouden met recente verschijningsvormen van terrorisme. Voorts is voor zover mogelijk rekening gehouden met te verwachten </w:t>
      </w:r>
      <w:r w:rsidR="00FC1286" w:rsidRPr="00A20DC6">
        <w:rPr>
          <w:rFonts w:ascii="Times New Roman" w:hAnsi="Times New Roman" w:cs="Times New Roman"/>
          <w:sz w:val="24"/>
          <w:szCs w:val="24"/>
        </w:rPr>
        <w:t>verandering</w:t>
      </w:r>
      <w:r w:rsidR="002336D8" w:rsidRPr="00A20DC6">
        <w:rPr>
          <w:rFonts w:ascii="Times New Roman" w:hAnsi="Times New Roman" w:cs="Times New Roman"/>
          <w:sz w:val="24"/>
          <w:szCs w:val="24"/>
        </w:rPr>
        <w:t>en</w:t>
      </w:r>
      <w:r w:rsidR="007A1914" w:rsidRPr="00A20DC6">
        <w:rPr>
          <w:rFonts w:ascii="Times New Roman" w:hAnsi="Times New Roman" w:cs="Times New Roman"/>
          <w:sz w:val="24"/>
          <w:szCs w:val="24"/>
        </w:rPr>
        <w:t xml:space="preserve"> in de terroristische dreiging</w:t>
      </w:r>
      <w:r w:rsidR="00CD3DF9" w:rsidRPr="00A20DC6">
        <w:rPr>
          <w:rFonts w:ascii="Times New Roman" w:hAnsi="Times New Roman" w:cs="Times New Roman"/>
          <w:sz w:val="24"/>
          <w:szCs w:val="24"/>
        </w:rPr>
        <w:t xml:space="preserve"> in de nabije toekomst</w:t>
      </w:r>
      <w:r w:rsidR="007A1914" w:rsidRPr="00A20DC6">
        <w:rPr>
          <w:rFonts w:ascii="Times New Roman" w:hAnsi="Times New Roman" w:cs="Times New Roman"/>
          <w:sz w:val="24"/>
          <w:szCs w:val="24"/>
        </w:rPr>
        <w:t xml:space="preserve">, </w:t>
      </w:r>
      <w:r w:rsidR="00036B66" w:rsidRPr="00A20DC6">
        <w:rPr>
          <w:rFonts w:ascii="Times New Roman" w:hAnsi="Times New Roman" w:cs="Times New Roman"/>
          <w:sz w:val="24"/>
          <w:szCs w:val="24"/>
        </w:rPr>
        <w:t>zoals d</w:t>
      </w:r>
      <w:r w:rsidR="00455E47" w:rsidRPr="00A20DC6">
        <w:rPr>
          <w:rFonts w:ascii="Times New Roman" w:hAnsi="Times New Roman" w:cs="Times New Roman"/>
          <w:sz w:val="24"/>
          <w:szCs w:val="24"/>
        </w:rPr>
        <w:t xml:space="preserve">e terugkeer van </w:t>
      </w:r>
      <w:r w:rsidR="00036B66" w:rsidRPr="00A20DC6">
        <w:rPr>
          <w:rFonts w:ascii="Times New Roman" w:hAnsi="Times New Roman" w:cs="Times New Roman"/>
          <w:sz w:val="24"/>
          <w:szCs w:val="24"/>
        </w:rPr>
        <w:t>N</w:t>
      </w:r>
      <w:r w:rsidR="00455E47" w:rsidRPr="00A20DC6">
        <w:rPr>
          <w:rFonts w:ascii="Times New Roman" w:hAnsi="Times New Roman" w:cs="Times New Roman"/>
          <w:sz w:val="24"/>
          <w:szCs w:val="24"/>
        </w:rPr>
        <w:t xml:space="preserve">ederlandse onderdanen </w:t>
      </w:r>
      <w:r w:rsidR="000A4BBE" w:rsidRPr="00A20DC6">
        <w:rPr>
          <w:rFonts w:ascii="Times New Roman" w:hAnsi="Times New Roman" w:cs="Times New Roman"/>
          <w:sz w:val="24"/>
          <w:szCs w:val="24"/>
        </w:rPr>
        <w:t xml:space="preserve">en ingezetenen </w:t>
      </w:r>
      <w:r w:rsidR="00455E47" w:rsidRPr="00A20DC6">
        <w:rPr>
          <w:rFonts w:ascii="Times New Roman" w:hAnsi="Times New Roman" w:cs="Times New Roman"/>
          <w:sz w:val="24"/>
          <w:szCs w:val="24"/>
        </w:rPr>
        <w:t>die zich hebben</w:t>
      </w:r>
      <w:r w:rsidR="00036B66" w:rsidRPr="00A20DC6">
        <w:rPr>
          <w:rFonts w:ascii="Times New Roman" w:hAnsi="Times New Roman" w:cs="Times New Roman"/>
          <w:sz w:val="24"/>
          <w:szCs w:val="24"/>
        </w:rPr>
        <w:t xml:space="preserve"> aangesloten bij terroristische organisaties in Syrië en Irak </w:t>
      </w:r>
      <w:r w:rsidR="002336D8" w:rsidRPr="00A20DC6">
        <w:rPr>
          <w:rFonts w:ascii="Times New Roman" w:hAnsi="Times New Roman" w:cs="Times New Roman"/>
          <w:sz w:val="24"/>
          <w:szCs w:val="24"/>
        </w:rPr>
        <w:t>indien</w:t>
      </w:r>
      <w:r w:rsidR="00FC1286" w:rsidRPr="00A20DC6">
        <w:rPr>
          <w:rFonts w:ascii="Times New Roman" w:hAnsi="Times New Roman" w:cs="Times New Roman"/>
          <w:sz w:val="24"/>
          <w:szCs w:val="24"/>
        </w:rPr>
        <w:t xml:space="preserve"> deze terror</w:t>
      </w:r>
      <w:r w:rsidR="0042366D">
        <w:rPr>
          <w:rFonts w:ascii="Times New Roman" w:hAnsi="Times New Roman" w:cs="Times New Roman"/>
          <w:sz w:val="24"/>
          <w:szCs w:val="24"/>
        </w:rPr>
        <w:t>istische organisaties daar worden</w:t>
      </w:r>
      <w:r w:rsidR="00FC1286" w:rsidRPr="00A20DC6">
        <w:rPr>
          <w:rFonts w:ascii="Times New Roman" w:hAnsi="Times New Roman" w:cs="Times New Roman"/>
          <w:sz w:val="24"/>
          <w:szCs w:val="24"/>
        </w:rPr>
        <w:t xml:space="preserve"> verdreven. </w:t>
      </w:r>
    </w:p>
    <w:p w:rsidR="00FA0E02" w:rsidRPr="00A20DC6" w:rsidRDefault="00FA0E02" w:rsidP="008F0F7E">
      <w:pPr>
        <w:pStyle w:val="NoSpacing"/>
        <w:rPr>
          <w:rFonts w:ascii="Times New Roman" w:hAnsi="Times New Roman" w:cs="Times New Roman"/>
          <w:sz w:val="24"/>
          <w:szCs w:val="24"/>
        </w:rPr>
      </w:pPr>
    </w:p>
    <w:p w:rsidR="009E1DC2" w:rsidRPr="00A20DC6" w:rsidRDefault="009E1DC2" w:rsidP="008F0F7E">
      <w:pPr>
        <w:pStyle w:val="NoSpacing"/>
        <w:rPr>
          <w:rFonts w:ascii="Times New Roman" w:hAnsi="Times New Roman" w:cs="Times New Roman"/>
          <w:b/>
          <w:bCs/>
          <w:sz w:val="24"/>
          <w:szCs w:val="24"/>
        </w:rPr>
      </w:pPr>
      <w:r w:rsidRPr="00A20DC6">
        <w:rPr>
          <w:rFonts w:ascii="Times New Roman" w:hAnsi="Times New Roman" w:cs="Times New Roman"/>
          <w:b/>
          <w:bCs/>
          <w:sz w:val="24"/>
          <w:szCs w:val="24"/>
        </w:rPr>
        <w:t>2.</w:t>
      </w:r>
      <w:r w:rsidRPr="00A20DC6">
        <w:rPr>
          <w:rFonts w:ascii="Times New Roman" w:hAnsi="Times New Roman" w:cs="Times New Roman"/>
          <w:b/>
          <w:bCs/>
          <w:sz w:val="24"/>
          <w:szCs w:val="24"/>
        </w:rPr>
        <w:tab/>
        <w:t>Ontvangen adviezen</w:t>
      </w:r>
    </w:p>
    <w:p w:rsidR="009E1DC2" w:rsidRPr="00A20DC6" w:rsidRDefault="009E1DC2" w:rsidP="008F0F7E">
      <w:pPr>
        <w:pStyle w:val="NoSpacing"/>
        <w:rPr>
          <w:rFonts w:ascii="Times New Roman" w:hAnsi="Times New Roman" w:cs="Times New Roman"/>
          <w:sz w:val="24"/>
          <w:szCs w:val="24"/>
        </w:rPr>
      </w:pPr>
    </w:p>
    <w:p w:rsidR="00534303" w:rsidRPr="00A20DC6" w:rsidRDefault="009E1DC2" w:rsidP="00ED7DF1">
      <w:pPr>
        <w:pStyle w:val="NoSpacing"/>
        <w:rPr>
          <w:rFonts w:ascii="Times New Roman" w:hAnsi="Times New Roman" w:cs="Times New Roman"/>
          <w:sz w:val="24"/>
          <w:szCs w:val="24"/>
        </w:rPr>
      </w:pPr>
      <w:r w:rsidRPr="00A20DC6">
        <w:rPr>
          <w:rFonts w:ascii="Times New Roman" w:hAnsi="Times New Roman" w:cs="Times New Roman"/>
          <w:sz w:val="24"/>
          <w:szCs w:val="24"/>
        </w:rPr>
        <w:t xml:space="preserve">Omtrent het wetsvoorstel is advies </w:t>
      </w:r>
      <w:r w:rsidR="008036CD" w:rsidRPr="00A20DC6">
        <w:rPr>
          <w:rFonts w:ascii="Times New Roman" w:hAnsi="Times New Roman" w:cs="Times New Roman"/>
          <w:sz w:val="24"/>
          <w:szCs w:val="24"/>
        </w:rPr>
        <w:t xml:space="preserve">gevraagd aan en </w:t>
      </w:r>
      <w:r w:rsidRPr="00A20DC6">
        <w:rPr>
          <w:rFonts w:ascii="Times New Roman" w:hAnsi="Times New Roman" w:cs="Times New Roman"/>
          <w:sz w:val="24"/>
          <w:szCs w:val="24"/>
        </w:rPr>
        <w:t>uitgebracht door de Nationale Politie, het openbaar ministerie, de Nederlandse Vereniging voor Rechtspraak (NVvR), de Raad voor de rechtspraak (Rvdr), de Nederlandse Orde van Advocaten (NOvA), de Kiesraad en in een gecombineerd advies door de Nederlandse Vereniging van Journalisten (NVJ) en het Nederlands Genootschap van Hoofdredacteuren.</w:t>
      </w:r>
    </w:p>
    <w:p w:rsidR="009E1DC2" w:rsidRPr="00A20DC6" w:rsidRDefault="009E1DC2" w:rsidP="008F0F7E">
      <w:pPr>
        <w:pStyle w:val="NoSpacing"/>
        <w:rPr>
          <w:rFonts w:ascii="Times New Roman" w:hAnsi="Times New Roman" w:cs="Times New Roman"/>
          <w:sz w:val="24"/>
          <w:szCs w:val="24"/>
        </w:rPr>
      </w:pPr>
    </w:p>
    <w:p w:rsidR="000E35F5" w:rsidRDefault="00537023" w:rsidP="0015431E">
      <w:pPr>
        <w:pStyle w:val="NoSpacing"/>
        <w:rPr>
          <w:rFonts w:ascii="Times New Roman" w:hAnsi="Times New Roman" w:cs="Times New Roman"/>
          <w:sz w:val="24"/>
          <w:szCs w:val="24"/>
        </w:rPr>
      </w:pPr>
      <w:r w:rsidRPr="00A20DC6">
        <w:rPr>
          <w:rFonts w:ascii="Times New Roman" w:hAnsi="Times New Roman" w:cs="Times New Roman"/>
          <w:sz w:val="24"/>
          <w:szCs w:val="24"/>
        </w:rPr>
        <w:t xml:space="preserve">Het openbaar ministerie gaf in zijn advies aan met belangstelling en instemming te hebben kennisgenomen van het </w:t>
      </w:r>
      <w:r w:rsidRPr="00CB33AE">
        <w:rPr>
          <w:rFonts w:ascii="Times New Roman" w:hAnsi="Times New Roman" w:cs="Times New Roman"/>
          <w:sz w:val="24"/>
          <w:szCs w:val="24"/>
        </w:rPr>
        <w:t>voorstel</w:t>
      </w:r>
      <w:r w:rsidR="00986B02" w:rsidRPr="00CB33AE">
        <w:rPr>
          <w:rFonts w:ascii="Times New Roman" w:hAnsi="Times New Roman" w:cs="Times New Roman"/>
          <w:sz w:val="24"/>
          <w:szCs w:val="24"/>
        </w:rPr>
        <w:t>.</w:t>
      </w:r>
      <w:r w:rsidR="00B30AD5" w:rsidRPr="00CB33AE">
        <w:rPr>
          <w:rFonts w:ascii="Times New Roman" w:hAnsi="Times New Roman" w:cs="Times New Roman"/>
          <w:sz w:val="24"/>
          <w:szCs w:val="24"/>
        </w:rPr>
        <w:t xml:space="preserve"> </w:t>
      </w:r>
      <w:r w:rsidR="00BF4E6D" w:rsidRPr="00CB33AE">
        <w:rPr>
          <w:rFonts w:ascii="Times New Roman" w:hAnsi="Times New Roman" w:cs="Times New Roman"/>
          <w:sz w:val="24"/>
          <w:szCs w:val="24"/>
        </w:rPr>
        <w:t xml:space="preserve">De Nationale Politie vermeldde in haar advies </w:t>
      </w:r>
      <w:r w:rsidR="00B30AD5" w:rsidRPr="00CB33AE">
        <w:rPr>
          <w:rFonts w:ascii="Times New Roman" w:hAnsi="Times New Roman" w:cs="Times New Roman"/>
          <w:sz w:val="24"/>
          <w:szCs w:val="24"/>
        </w:rPr>
        <w:t>zich te kunnen vinden in het wetsvoorstel.</w:t>
      </w:r>
      <w:r w:rsidR="00986B02" w:rsidRPr="00CB33AE">
        <w:rPr>
          <w:rFonts w:ascii="Times New Roman" w:hAnsi="Times New Roman" w:cs="Times New Roman"/>
          <w:sz w:val="24"/>
          <w:szCs w:val="24"/>
        </w:rPr>
        <w:t xml:space="preserve"> </w:t>
      </w:r>
      <w:r w:rsidR="008036CD" w:rsidRPr="00CB33AE">
        <w:rPr>
          <w:rFonts w:ascii="Times New Roman" w:hAnsi="Times New Roman" w:cs="Times New Roman"/>
          <w:sz w:val="24"/>
          <w:szCs w:val="24"/>
        </w:rPr>
        <w:t xml:space="preserve">De </w:t>
      </w:r>
      <w:r w:rsidR="004074C2" w:rsidRPr="00CB33AE">
        <w:rPr>
          <w:rFonts w:ascii="Times New Roman" w:hAnsi="Times New Roman" w:cs="Times New Roman"/>
          <w:sz w:val="24"/>
          <w:szCs w:val="24"/>
        </w:rPr>
        <w:t xml:space="preserve">NOvA </w:t>
      </w:r>
      <w:r w:rsidR="00B41D61" w:rsidRPr="00CB33AE">
        <w:rPr>
          <w:rFonts w:ascii="Times New Roman" w:hAnsi="Times New Roman" w:cs="Times New Roman"/>
          <w:sz w:val="24"/>
          <w:szCs w:val="24"/>
        </w:rPr>
        <w:t xml:space="preserve">uitte zich </w:t>
      </w:r>
      <w:r w:rsidR="005C3F46" w:rsidRPr="00CB33AE">
        <w:rPr>
          <w:rFonts w:ascii="Times New Roman" w:hAnsi="Times New Roman" w:cs="Times New Roman"/>
          <w:sz w:val="24"/>
          <w:szCs w:val="24"/>
        </w:rPr>
        <w:t>kritisch</w:t>
      </w:r>
      <w:r w:rsidR="004074C2" w:rsidRPr="00CB33AE">
        <w:rPr>
          <w:rFonts w:ascii="Times New Roman" w:hAnsi="Times New Roman" w:cs="Times New Roman"/>
          <w:sz w:val="24"/>
          <w:szCs w:val="24"/>
        </w:rPr>
        <w:t xml:space="preserve"> </w:t>
      </w:r>
      <w:r w:rsidR="00ED7DF1" w:rsidRPr="00CB33AE">
        <w:rPr>
          <w:rFonts w:ascii="Times New Roman" w:hAnsi="Times New Roman" w:cs="Times New Roman"/>
          <w:sz w:val="24"/>
          <w:szCs w:val="24"/>
        </w:rPr>
        <w:t xml:space="preserve">over </w:t>
      </w:r>
      <w:r w:rsidR="00B41D61" w:rsidRPr="00CB33AE">
        <w:rPr>
          <w:rFonts w:ascii="Times New Roman" w:hAnsi="Times New Roman" w:cs="Times New Roman"/>
          <w:sz w:val="24"/>
          <w:szCs w:val="24"/>
        </w:rPr>
        <w:t>verschillende o</w:t>
      </w:r>
      <w:r w:rsidR="00AF4F8E" w:rsidRPr="00CB33AE">
        <w:rPr>
          <w:rFonts w:ascii="Times New Roman" w:hAnsi="Times New Roman" w:cs="Times New Roman"/>
          <w:sz w:val="24"/>
          <w:szCs w:val="24"/>
        </w:rPr>
        <w:t xml:space="preserve">nderdelen van het wetsvoorstel, in het bijzonder </w:t>
      </w:r>
      <w:r w:rsidR="0033499F" w:rsidRPr="00CB33AE">
        <w:rPr>
          <w:rFonts w:ascii="Times New Roman" w:hAnsi="Times New Roman" w:cs="Times New Roman"/>
          <w:sz w:val="24"/>
          <w:szCs w:val="24"/>
        </w:rPr>
        <w:t>ten aanzien</w:t>
      </w:r>
      <w:r w:rsidR="0033499F" w:rsidRPr="00A20DC6">
        <w:rPr>
          <w:rFonts w:ascii="Times New Roman" w:hAnsi="Times New Roman" w:cs="Times New Roman"/>
          <w:sz w:val="24"/>
          <w:szCs w:val="24"/>
        </w:rPr>
        <w:t xml:space="preserve"> van </w:t>
      </w:r>
      <w:r w:rsidR="0015431E">
        <w:rPr>
          <w:rFonts w:ascii="Times New Roman" w:hAnsi="Times New Roman" w:cs="Times New Roman"/>
          <w:sz w:val="24"/>
          <w:szCs w:val="24"/>
        </w:rPr>
        <w:t xml:space="preserve">de </w:t>
      </w:r>
      <w:r w:rsidR="00AF4F8E" w:rsidRPr="00A20DC6">
        <w:rPr>
          <w:rFonts w:ascii="Times New Roman" w:hAnsi="Times New Roman" w:cs="Times New Roman"/>
          <w:sz w:val="24"/>
          <w:szCs w:val="24"/>
        </w:rPr>
        <w:t>mogelij</w:t>
      </w:r>
      <w:r w:rsidR="008036CD" w:rsidRPr="00A20DC6">
        <w:rPr>
          <w:rFonts w:ascii="Times New Roman" w:hAnsi="Times New Roman" w:cs="Times New Roman"/>
          <w:sz w:val="24"/>
          <w:szCs w:val="24"/>
        </w:rPr>
        <w:t xml:space="preserve">kheid om bij verdenking van een terroristisch misdrijf gedurende een langere periode voorlopige hechtenis te kunnen toepassen zonder ernstige bezwaren tegen de verdachte. </w:t>
      </w:r>
    </w:p>
    <w:p w:rsidR="000E35F5" w:rsidRDefault="000E35F5" w:rsidP="0015431E">
      <w:pPr>
        <w:pStyle w:val="NoSpacing"/>
        <w:rPr>
          <w:rFonts w:ascii="Times New Roman" w:hAnsi="Times New Roman" w:cs="Times New Roman"/>
          <w:sz w:val="24"/>
          <w:szCs w:val="24"/>
        </w:rPr>
      </w:pPr>
    </w:p>
    <w:p w:rsidR="0015431E" w:rsidRDefault="0015431E" w:rsidP="0015431E">
      <w:pPr>
        <w:pStyle w:val="NoSpacing"/>
        <w:rPr>
          <w:rFonts w:ascii="Times New Roman" w:hAnsi="Times New Roman" w:cs="Times New Roman"/>
          <w:sz w:val="24"/>
          <w:szCs w:val="24"/>
        </w:rPr>
      </w:pPr>
      <w:r w:rsidRPr="000E35F5">
        <w:rPr>
          <w:rFonts w:ascii="Times New Roman" w:hAnsi="Times New Roman" w:cs="Times New Roman"/>
          <w:sz w:val="24"/>
          <w:szCs w:val="24"/>
        </w:rPr>
        <w:t>In meerdere adviezen werd stelling genomen tegen het in de consultatieversie van het wetsvoorstel voorgestelde verbod om zonder toestemming te verblijven in een door een terroristische organisatie gecontroleerd gebied. Nu deze strafbaarstelling geen deel meer uitmaakt van het wetsvoorstel, behoeven de adviezen over dit onderdeel geen bespreking.</w:t>
      </w:r>
    </w:p>
    <w:p w:rsidR="000E35F5" w:rsidRDefault="000E35F5" w:rsidP="0015431E">
      <w:pPr>
        <w:pStyle w:val="NoSpacing"/>
        <w:rPr>
          <w:rFonts w:ascii="Times New Roman" w:hAnsi="Times New Roman" w:cs="Times New Roman"/>
          <w:sz w:val="24"/>
          <w:szCs w:val="24"/>
        </w:rPr>
      </w:pPr>
    </w:p>
    <w:p w:rsidR="00D91884" w:rsidRPr="00A20DC6" w:rsidRDefault="00B41D61" w:rsidP="0015431E">
      <w:pPr>
        <w:pStyle w:val="NoSpacing"/>
        <w:rPr>
          <w:rFonts w:ascii="Times New Roman" w:hAnsi="Times New Roman" w:cs="Times New Roman"/>
          <w:sz w:val="24"/>
          <w:szCs w:val="24"/>
        </w:rPr>
      </w:pPr>
      <w:r w:rsidRPr="00A20DC6">
        <w:rPr>
          <w:rFonts w:ascii="Times New Roman" w:hAnsi="Times New Roman" w:cs="Times New Roman"/>
          <w:sz w:val="24"/>
          <w:szCs w:val="24"/>
        </w:rPr>
        <w:t xml:space="preserve">De NVvR </w:t>
      </w:r>
      <w:r w:rsidR="008864E2" w:rsidRPr="00A20DC6">
        <w:rPr>
          <w:rFonts w:ascii="Times New Roman" w:hAnsi="Times New Roman" w:cs="Times New Roman"/>
          <w:sz w:val="24"/>
          <w:szCs w:val="24"/>
        </w:rPr>
        <w:t xml:space="preserve">benadrukte </w:t>
      </w:r>
      <w:r w:rsidR="008036CD" w:rsidRPr="00A20DC6">
        <w:rPr>
          <w:rFonts w:ascii="Times New Roman" w:hAnsi="Times New Roman" w:cs="Times New Roman"/>
          <w:sz w:val="24"/>
          <w:szCs w:val="24"/>
        </w:rPr>
        <w:t xml:space="preserve">in haar advies </w:t>
      </w:r>
      <w:r w:rsidR="008864E2" w:rsidRPr="00A20DC6">
        <w:rPr>
          <w:rFonts w:ascii="Times New Roman" w:hAnsi="Times New Roman" w:cs="Times New Roman"/>
          <w:sz w:val="24"/>
          <w:szCs w:val="24"/>
        </w:rPr>
        <w:t>dat veel van de voorgestelde nieuwe bepalingen toeg</w:t>
      </w:r>
      <w:r w:rsidR="00A2300D" w:rsidRPr="00A20DC6">
        <w:rPr>
          <w:rFonts w:ascii="Times New Roman" w:hAnsi="Times New Roman" w:cs="Times New Roman"/>
          <w:sz w:val="24"/>
          <w:szCs w:val="24"/>
        </w:rPr>
        <w:t xml:space="preserve">epast op het </w:t>
      </w:r>
      <w:r w:rsidR="008864E2" w:rsidRPr="00A20DC6">
        <w:rPr>
          <w:rFonts w:ascii="Times New Roman" w:hAnsi="Times New Roman" w:cs="Times New Roman"/>
          <w:sz w:val="24"/>
          <w:szCs w:val="24"/>
        </w:rPr>
        <w:t>hui</w:t>
      </w:r>
      <w:r w:rsidR="00A2300D" w:rsidRPr="00A20DC6">
        <w:rPr>
          <w:rFonts w:ascii="Times New Roman" w:hAnsi="Times New Roman" w:cs="Times New Roman"/>
          <w:sz w:val="24"/>
          <w:szCs w:val="24"/>
        </w:rPr>
        <w:t xml:space="preserve">dig </w:t>
      </w:r>
      <w:r w:rsidR="008864E2" w:rsidRPr="00A20DC6">
        <w:rPr>
          <w:rFonts w:ascii="Times New Roman" w:hAnsi="Times New Roman" w:cs="Times New Roman"/>
          <w:sz w:val="24"/>
          <w:szCs w:val="24"/>
        </w:rPr>
        <w:t>ter</w:t>
      </w:r>
      <w:r w:rsidR="00BF1061" w:rsidRPr="00A20DC6">
        <w:rPr>
          <w:rFonts w:ascii="Times New Roman" w:hAnsi="Times New Roman" w:cs="Times New Roman"/>
          <w:sz w:val="24"/>
          <w:szCs w:val="24"/>
        </w:rPr>
        <w:t>r</w:t>
      </w:r>
      <w:r w:rsidR="008864E2" w:rsidRPr="00A20DC6">
        <w:rPr>
          <w:rFonts w:ascii="Times New Roman" w:hAnsi="Times New Roman" w:cs="Times New Roman"/>
          <w:sz w:val="24"/>
          <w:szCs w:val="24"/>
        </w:rPr>
        <w:t xml:space="preserve">orisme door </w:t>
      </w:r>
      <w:r w:rsidR="00C0292E" w:rsidRPr="00A20DC6">
        <w:rPr>
          <w:rFonts w:ascii="Times New Roman" w:hAnsi="Times New Roman" w:cs="Times New Roman"/>
          <w:sz w:val="24"/>
          <w:szCs w:val="24"/>
        </w:rPr>
        <w:t>Islamitische Staat (</w:t>
      </w:r>
      <w:r w:rsidR="008864E2" w:rsidRPr="00A20DC6">
        <w:rPr>
          <w:rFonts w:ascii="Times New Roman" w:hAnsi="Times New Roman" w:cs="Times New Roman"/>
          <w:sz w:val="24"/>
          <w:szCs w:val="24"/>
        </w:rPr>
        <w:t>IS</w:t>
      </w:r>
      <w:r w:rsidR="00C0292E" w:rsidRPr="00A20DC6">
        <w:rPr>
          <w:rFonts w:ascii="Times New Roman" w:hAnsi="Times New Roman" w:cs="Times New Roman"/>
          <w:sz w:val="24"/>
          <w:szCs w:val="24"/>
        </w:rPr>
        <w:t>)</w:t>
      </w:r>
      <w:r w:rsidR="008864E2" w:rsidRPr="00A20DC6">
        <w:rPr>
          <w:rFonts w:ascii="Times New Roman" w:hAnsi="Times New Roman" w:cs="Times New Roman"/>
          <w:sz w:val="24"/>
          <w:szCs w:val="24"/>
        </w:rPr>
        <w:t xml:space="preserve"> en inhoudelijk nauw verwante organisaties, op zich begrijpelijk zijn. Maar gelet op het feit dat wettelijke regelingen ook van toepassing kunnen zijn op andere situaties, </w:t>
      </w:r>
      <w:r w:rsidR="00C04C48" w:rsidRPr="00A20DC6">
        <w:rPr>
          <w:rFonts w:ascii="Times New Roman" w:hAnsi="Times New Roman" w:cs="Times New Roman"/>
          <w:sz w:val="24"/>
          <w:szCs w:val="24"/>
        </w:rPr>
        <w:t>vroeg</w:t>
      </w:r>
      <w:r w:rsidR="008036CD" w:rsidRPr="00A20DC6">
        <w:rPr>
          <w:rFonts w:ascii="Times New Roman" w:hAnsi="Times New Roman" w:cs="Times New Roman"/>
          <w:sz w:val="24"/>
          <w:szCs w:val="24"/>
        </w:rPr>
        <w:t xml:space="preserve"> de NVvR de voorgestelde maatregelen </w:t>
      </w:r>
      <w:r w:rsidR="008864E2" w:rsidRPr="00A20DC6">
        <w:rPr>
          <w:rFonts w:ascii="Times New Roman" w:hAnsi="Times New Roman" w:cs="Times New Roman"/>
          <w:sz w:val="24"/>
          <w:szCs w:val="24"/>
        </w:rPr>
        <w:t xml:space="preserve">in breder verband </w:t>
      </w:r>
      <w:r w:rsidR="0042366D">
        <w:rPr>
          <w:rFonts w:ascii="Times New Roman" w:hAnsi="Times New Roman" w:cs="Times New Roman"/>
          <w:sz w:val="24"/>
          <w:szCs w:val="24"/>
        </w:rPr>
        <w:t xml:space="preserve">te </w:t>
      </w:r>
      <w:r w:rsidR="008864E2" w:rsidRPr="00A20DC6">
        <w:rPr>
          <w:rFonts w:ascii="Times New Roman" w:hAnsi="Times New Roman" w:cs="Times New Roman"/>
          <w:sz w:val="24"/>
          <w:szCs w:val="24"/>
        </w:rPr>
        <w:t xml:space="preserve">beoordelen en ervoor </w:t>
      </w:r>
      <w:r w:rsidR="00A2300D" w:rsidRPr="00A20DC6">
        <w:rPr>
          <w:rFonts w:ascii="Times New Roman" w:hAnsi="Times New Roman" w:cs="Times New Roman"/>
          <w:sz w:val="24"/>
          <w:szCs w:val="24"/>
        </w:rPr>
        <w:t xml:space="preserve">te </w:t>
      </w:r>
      <w:r w:rsidR="008864E2" w:rsidRPr="00A20DC6">
        <w:rPr>
          <w:rFonts w:ascii="Times New Roman" w:hAnsi="Times New Roman" w:cs="Times New Roman"/>
          <w:sz w:val="24"/>
          <w:szCs w:val="24"/>
        </w:rPr>
        <w:t>zorgen dat geen onnodige inbreuk</w:t>
      </w:r>
      <w:r w:rsidR="008036CD" w:rsidRPr="00A20DC6">
        <w:rPr>
          <w:rFonts w:ascii="Times New Roman" w:hAnsi="Times New Roman" w:cs="Times New Roman"/>
          <w:sz w:val="24"/>
          <w:szCs w:val="24"/>
        </w:rPr>
        <w:t xml:space="preserve"> plaatsvindt. De </w:t>
      </w:r>
      <w:r w:rsidR="0016007B" w:rsidRPr="00A20DC6">
        <w:rPr>
          <w:rFonts w:ascii="Times New Roman" w:hAnsi="Times New Roman" w:cs="Times New Roman"/>
          <w:sz w:val="24"/>
          <w:szCs w:val="24"/>
        </w:rPr>
        <w:t>s</w:t>
      </w:r>
      <w:r w:rsidRPr="00A20DC6">
        <w:rPr>
          <w:rFonts w:ascii="Times New Roman" w:hAnsi="Times New Roman" w:cs="Times New Roman"/>
          <w:sz w:val="24"/>
          <w:szCs w:val="24"/>
        </w:rPr>
        <w:t>uggesties voor verbetering</w:t>
      </w:r>
      <w:r w:rsidR="008036CD" w:rsidRPr="00A20DC6">
        <w:rPr>
          <w:rFonts w:ascii="Times New Roman" w:hAnsi="Times New Roman" w:cs="Times New Roman"/>
          <w:sz w:val="24"/>
          <w:szCs w:val="24"/>
        </w:rPr>
        <w:t xml:space="preserve"> die de NVvR </w:t>
      </w:r>
      <w:r w:rsidR="008A18CC" w:rsidRPr="00A20DC6">
        <w:rPr>
          <w:rFonts w:ascii="Times New Roman" w:hAnsi="Times New Roman" w:cs="Times New Roman"/>
          <w:sz w:val="24"/>
          <w:szCs w:val="24"/>
        </w:rPr>
        <w:t>en andere adviesorganen in dat verband deden</w:t>
      </w:r>
      <w:r w:rsidR="001669EC" w:rsidRPr="00A20DC6">
        <w:rPr>
          <w:rFonts w:ascii="Times New Roman" w:hAnsi="Times New Roman" w:cs="Times New Roman"/>
          <w:sz w:val="24"/>
          <w:szCs w:val="24"/>
        </w:rPr>
        <w:t xml:space="preserve"> om proportionele toepassing te bevorderen</w:t>
      </w:r>
      <w:r w:rsidR="008A18CC" w:rsidRPr="00A20DC6">
        <w:rPr>
          <w:rFonts w:ascii="Times New Roman" w:hAnsi="Times New Roman" w:cs="Times New Roman"/>
          <w:sz w:val="24"/>
          <w:szCs w:val="24"/>
        </w:rPr>
        <w:t>, zijn zoveel mogelijk</w:t>
      </w:r>
      <w:r w:rsidR="008036CD" w:rsidRPr="00A20DC6">
        <w:rPr>
          <w:rFonts w:ascii="Times New Roman" w:hAnsi="Times New Roman" w:cs="Times New Roman"/>
          <w:sz w:val="24"/>
          <w:szCs w:val="24"/>
        </w:rPr>
        <w:t xml:space="preserve"> verwerkt </w:t>
      </w:r>
      <w:r w:rsidRPr="00A20DC6">
        <w:rPr>
          <w:rFonts w:ascii="Times New Roman" w:hAnsi="Times New Roman" w:cs="Times New Roman"/>
          <w:sz w:val="24"/>
          <w:szCs w:val="24"/>
        </w:rPr>
        <w:t>in het wetsvoorstel</w:t>
      </w:r>
      <w:r w:rsidR="008036CD" w:rsidRPr="00A20DC6">
        <w:rPr>
          <w:rFonts w:ascii="Times New Roman" w:hAnsi="Times New Roman" w:cs="Times New Roman"/>
          <w:sz w:val="24"/>
          <w:szCs w:val="24"/>
        </w:rPr>
        <w:t xml:space="preserve"> en deze toelichting</w:t>
      </w:r>
      <w:r w:rsidRPr="00A20DC6">
        <w:rPr>
          <w:rFonts w:ascii="Times New Roman" w:hAnsi="Times New Roman" w:cs="Times New Roman"/>
          <w:sz w:val="24"/>
          <w:szCs w:val="24"/>
        </w:rPr>
        <w:t xml:space="preserve">. </w:t>
      </w:r>
      <w:r w:rsidR="00024711" w:rsidRPr="00A20DC6">
        <w:rPr>
          <w:rFonts w:ascii="Times New Roman" w:hAnsi="Times New Roman" w:cs="Times New Roman"/>
          <w:sz w:val="24"/>
          <w:szCs w:val="24"/>
        </w:rPr>
        <w:t xml:space="preserve">De Rvdr </w:t>
      </w:r>
      <w:r w:rsidR="00EC3783" w:rsidRPr="00A20DC6">
        <w:rPr>
          <w:rFonts w:ascii="Times New Roman" w:hAnsi="Times New Roman" w:cs="Times New Roman"/>
          <w:sz w:val="24"/>
          <w:szCs w:val="24"/>
        </w:rPr>
        <w:t>drong aan</w:t>
      </w:r>
      <w:r w:rsidR="008036CD" w:rsidRPr="00A20DC6">
        <w:rPr>
          <w:rFonts w:ascii="Times New Roman" w:hAnsi="Times New Roman" w:cs="Times New Roman"/>
          <w:sz w:val="24"/>
          <w:szCs w:val="24"/>
        </w:rPr>
        <w:t xml:space="preserve"> </w:t>
      </w:r>
      <w:r w:rsidR="00EC3783" w:rsidRPr="00A20DC6">
        <w:rPr>
          <w:rFonts w:ascii="Times New Roman" w:hAnsi="Times New Roman" w:cs="Times New Roman"/>
          <w:sz w:val="24"/>
          <w:szCs w:val="24"/>
        </w:rPr>
        <w:t xml:space="preserve">op nadere </w:t>
      </w:r>
      <w:r w:rsidR="00024711" w:rsidRPr="00A20DC6">
        <w:rPr>
          <w:rFonts w:ascii="Times New Roman" w:hAnsi="Times New Roman" w:cs="Times New Roman"/>
          <w:sz w:val="24"/>
          <w:szCs w:val="24"/>
        </w:rPr>
        <w:t>motivering</w:t>
      </w:r>
      <w:r w:rsidR="00EC3783" w:rsidRPr="00A20DC6">
        <w:rPr>
          <w:rFonts w:ascii="Times New Roman" w:hAnsi="Times New Roman" w:cs="Times New Roman"/>
          <w:sz w:val="24"/>
          <w:szCs w:val="24"/>
        </w:rPr>
        <w:t xml:space="preserve"> van de noodzaak van</w:t>
      </w:r>
      <w:r w:rsidR="008036CD" w:rsidRPr="00A20DC6">
        <w:rPr>
          <w:rFonts w:ascii="Times New Roman" w:hAnsi="Times New Roman" w:cs="Times New Roman"/>
          <w:sz w:val="24"/>
          <w:szCs w:val="24"/>
        </w:rPr>
        <w:t xml:space="preserve"> belangrijke onderdel</w:t>
      </w:r>
      <w:r w:rsidR="00024711" w:rsidRPr="00A20DC6">
        <w:rPr>
          <w:rFonts w:ascii="Times New Roman" w:hAnsi="Times New Roman" w:cs="Times New Roman"/>
          <w:sz w:val="24"/>
          <w:szCs w:val="24"/>
        </w:rPr>
        <w:t>en van het concept-wetsvoorstel</w:t>
      </w:r>
      <w:r w:rsidR="008036CD" w:rsidRPr="00A20DC6">
        <w:rPr>
          <w:rFonts w:ascii="Times New Roman" w:hAnsi="Times New Roman" w:cs="Times New Roman"/>
          <w:sz w:val="24"/>
          <w:szCs w:val="24"/>
        </w:rPr>
        <w:t>.</w:t>
      </w:r>
      <w:r w:rsidRPr="00A20DC6">
        <w:rPr>
          <w:rFonts w:ascii="Times New Roman" w:hAnsi="Times New Roman" w:cs="Times New Roman"/>
          <w:sz w:val="24"/>
          <w:szCs w:val="24"/>
        </w:rPr>
        <w:t xml:space="preserve"> </w:t>
      </w:r>
      <w:r w:rsidR="008864E2" w:rsidRPr="00A20DC6">
        <w:rPr>
          <w:rFonts w:ascii="Times New Roman" w:hAnsi="Times New Roman" w:cs="Times New Roman"/>
          <w:sz w:val="24"/>
          <w:szCs w:val="24"/>
        </w:rPr>
        <w:t xml:space="preserve">Ook hieraan is zoveel mogelijk tegemoet gekomen. </w:t>
      </w:r>
      <w:r w:rsidR="008A18CC" w:rsidRPr="00A20DC6">
        <w:rPr>
          <w:rFonts w:ascii="Times New Roman" w:hAnsi="Times New Roman" w:cs="Times New Roman"/>
          <w:sz w:val="24"/>
          <w:szCs w:val="24"/>
        </w:rPr>
        <w:t xml:space="preserve">In algemene zin moet </w:t>
      </w:r>
      <w:r w:rsidR="00D91884" w:rsidRPr="00A20DC6">
        <w:rPr>
          <w:rFonts w:ascii="Times New Roman" w:hAnsi="Times New Roman" w:cs="Times New Roman"/>
          <w:sz w:val="24"/>
          <w:szCs w:val="24"/>
        </w:rPr>
        <w:t xml:space="preserve">worden </w:t>
      </w:r>
      <w:r w:rsidR="008A18CC" w:rsidRPr="00A20DC6">
        <w:rPr>
          <w:rFonts w:ascii="Times New Roman" w:hAnsi="Times New Roman" w:cs="Times New Roman"/>
          <w:sz w:val="24"/>
          <w:szCs w:val="24"/>
        </w:rPr>
        <w:t xml:space="preserve">benadrukt </w:t>
      </w:r>
      <w:r w:rsidR="00D91884" w:rsidRPr="00A20DC6">
        <w:rPr>
          <w:rFonts w:ascii="Times New Roman" w:hAnsi="Times New Roman" w:cs="Times New Roman"/>
          <w:sz w:val="24"/>
          <w:szCs w:val="24"/>
        </w:rPr>
        <w:t xml:space="preserve">dat het wetsvoorstel </w:t>
      </w:r>
      <w:r w:rsidR="001669EC" w:rsidRPr="00A20DC6">
        <w:rPr>
          <w:rFonts w:ascii="Times New Roman" w:hAnsi="Times New Roman" w:cs="Times New Roman"/>
          <w:sz w:val="24"/>
          <w:szCs w:val="24"/>
        </w:rPr>
        <w:t xml:space="preserve">vooral </w:t>
      </w:r>
      <w:r w:rsidR="00D91884" w:rsidRPr="00A20DC6">
        <w:rPr>
          <w:rFonts w:ascii="Times New Roman" w:hAnsi="Times New Roman" w:cs="Times New Roman"/>
          <w:sz w:val="24"/>
          <w:szCs w:val="24"/>
        </w:rPr>
        <w:t>een aant</w:t>
      </w:r>
      <w:r w:rsidR="001669EC" w:rsidRPr="00A20DC6">
        <w:rPr>
          <w:rFonts w:ascii="Times New Roman" w:hAnsi="Times New Roman" w:cs="Times New Roman"/>
          <w:sz w:val="24"/>
          <w:szCs w:val="24"/>
        </w:rPr>
        <w:t>al reeds bestaande maatregelen</w:t>
      </w:r>
      <w:r w:rsidR="00D91884" w:rsidRPr="00A20DC6">
        <w:rPr>
          <w:rFonts w:ascii="Times New Roman" w:hAnsi="Times New Roman" w:cs="Times New Roman"/>
          <w:sz w:val="24"/>
          <w:szCs w:val="24"/>
        </w:rPr>
        <w:t xml:space="preserve"> </w:t>
      </w:r>
      <w:r w:rsidR="00024711" w:rsidRPr="00A20DC6">
        <w:rPr>
          <w:rFonts w:ascii="Times New Roman" w:hAnsi="Times New Roman" w:cs="Times New Roman"/>
          <w:sz w:val="24"/>
          <w:szCs w:val="24"/>
        </w:rPr>
        <w:t xml:space="preserve">uitbreidt – de mogelijkheid om voorlopige hechtenis toe te passen zonder ernstige bezwaren tegen de verdachte, de aangifteplicht bij ernstige misdrijven, </w:t>
      </w:r>
      <w:r w:rsidR="00D8057C" w:rsidRPr="00A20DC6">
        <w:rPr>
          <w:rFonts w:ascii="Times New Roman" w:hAnsi="Times New Roman" w:cs="Times New Roman"/>
          <w:sz w:val="24"/>
          <w:szCs w:val="24"/>
        </w:rPr>
        <w:t xml:space="preserve">het afnemen van celmateriaal voor DNA-onderzoek – om te voorkomen dat zich gevallen voordoen waarin </w:t>
      </w:r>
      <w:r w:rsidR="001669EC" w:rsidRPr="00A20DC6">
        <w:rPr>
          <w:rFonts w:ascii="Times New Roman" w:hAnsi="Times New Roman" w:cs="Times New Roman"/>
          <w:sz w:val="24"/>
          <w:szCs w:val="24"/>
        </w:rPr>
        <w:t xml:space="preserve">door het ontbreken van de mogelijkheid om deze bevoegdheden toe te passen, het onderzoek naar terroristische misdrijven spaak loopt of een verdachte vroegtijdig moet worden vrijgelaten. </w:t>
      </w:r>
    </w:p>
    <w:p w:rsidR="00D91884" w:rsidRPr="00A20DC6" w:rsidRDefault="00D91884" w:rsidP="00B41D61">
      <w:pPr>
        <w:pStyle w:val="NoSpacing"/>
        <w:rPr>
          <w:rFonts w:ascii="Times New Roman" w:hAnsi="Times New Roman" w:cs="Times New Roman"/>
          <w:sz w:val="24"/>
          <w:szCs w:val="24"/>
        </w:rPr>
      </w:pPr>
    </w:p>
    <w:p w:rsidR="004074C2" w:rsidRPr="00A20DC6" w:rsidRDefault="00ED7DF1" w:rsidP="0015431E">
      <w:pPr>
        <w:pStyle w:val="NoSpacing"/>
        <w:rPr>
          <w:rFonts w:ascii="Times New Roman" w:hAnsi="Times New Roman" w:cs="Times New Roman"/>
          <w:sz w:val="24"/>
          <w:szCs w:val="24"/>
        </w:rPr>
      </w:pPr>
      <w:r w:rsidRPr="00A20DC6">
        <w:rPr>
          <w:rFonts w:ascii="Times New Roman" w:hAnsi="Times New Roman" w:cs="Times New Roman"/>
          <w:sz w:val="24"/>
          <w:szCs w:val="24"/>
        </w:rPr>
        <w:t xml:space="preserve">De Kiesraad </w:t>
      </w:r>
      <w:r w:rsidR="0016007B" w:rsidRPr="00A20DC6">
        <w:rPr>
          <w:rFonts w:ascii="Times New Roman" w:hAnsi="Times New Roman" w:cs="Times New Roman"/>
          <w:sz w:val="24"/>
          <w:szCs w:val="24"/>
        </w:rPr>
        <w:t xml:space="preserve">onderschreef </w:t>
      </w:r>
      <w:r w:rsidR="00E510C3" w:rsidRPr="00A20DC6">
        <w:rPr>
          <w:rFonts w:ascii="Times New Roman" w:hAnsi="Times New Roman" w:cs="Times New Roman"/>
          <w:sz w:val="24"/>
          <w:szCs w:val="24"/>
        </w:rPr>
        <w:t xml:space="preserve">in zijn advies </w:t>
      </w:r>
      <w:r w:rsidR="0016007B" w:rsidRPr="00A20DC6">
        <w:rPr>
          <w:rFonts w:ascii="Times New Roman" w:hAnsi="Times New Roman" w:cs="Times New Roman"/>
          <w:sz w:val="24"/>
          <w:szCs w:val="24"/>
        </w:rPr>
        <w:t>de voorgenomen uitbreiding van de categorie misdrijven waarvoor ontzetting van het kiesrecht als bijkomende straf kan volgen.</w:t>
      </w:r>
      <w:r w:rsidR="008036CD" w:rsidRPr="00A20DC6">
        <w:rPr>
          <w:rFonts w:ascii="Times New Roman" w:hAnsi="Times New Roman" w:cs="Times New Roman"/>
          <w:sz w:val="24"/>
          <w:szCs w:val="24"/>
        </w:rPr>
        <w:t xml:space="preserve"> </w:t>
      </w:r>
    </w:p>
    <w:p w:rsidR="004B20F2" w:rsidRPr="00A20DC6" w:rsidRDefault="004B20F2" w:rsidP="008F0F7E">
      <w:pPr>
        <w:pStyle w:val="NoSpacing"/>
        <w:rPr>
          <w:rFonts w:ascii="Times New Roman" w:hAnsi="Times New Roman" w:cs="Times New Roman"/>
          <w:sz w:val="24"/>
          <w:szCs w:val="24"/>
        </w:rPr>
      </w:pPr>
    </w:p>
    <w:p w:rsidR="004074C2" w:rsidRPr="00A20DC6" w:rsidRDefault="004B20F2" w:rsidP="008F0F7E">
      <w:pPr>
        <w:pStyle w:val="NoSpacing"/>
        <w:rPr>
          <w:rFonts w:ascii="Times New Roman" w:hAnsi="Times New Roman" w:cs="Times New Roman"/>
          <w:sz w:val="24"/>
          <w:szCs w:val="24"/>
        </w:rPr>
      </w:pPr>
      <w:r w:rsidRPr="00A20DC6">
        <w:rPr>
          <w:rFonts w:ascii="Times New Roman" w:hAnsi="Times New Roman" w:cs="Times New Roman"/>
          <w:sz w:val="24"/>
          <w:szCs w:val="24"/>
        </w:rPr>
        <w:t xml:space="preserve">In het vervolg van deze toelichting wordt nader op de verschillende adviezen ingegaan, bij bespreking van de </w:t>
      </w:r>
      <w:r w:rsidR="00067B5F" w:rsidRPr="00A20DC6">
        <w:rPr>
          <w:rFonts w:ascii="Times New Roman" w:hAnsi="Times New Roman" w:cs="Times New Roman"/>
          <w:sz w:val="24"/>
          <w:szCs w:val="24"/>
        </w:rPr>
        <w:t xml:space="preserve">desbetreffende </w:t>
      </w:r>
      <w:r w:rsidRPr="00A20DC6">
        <w:rPr>
          <w:rFonts w:ascii="Times New Roman" w:hAnsi="Times New Roman" w:cs="Times New Roman"/>
          <w:sz w:val="24"/>
          <w:szCs w:val="24"/>
        </w:rPr>
        <w:t xml:space="preserve">onderdelen van het wetsvoorstel. </w:t>
      </w:r>
    </w:p>
    <w:p w:rsidR="00537023" w:rsidRPr="00A20DC6" w:rsidRDefault="00537023" w:rsidP="008F0F7E">
      <w:pPr>
        <w:pStyle w:val="NoSpacing"/>
        <w:rPr>
          <w:rFonts w:ascii="Times New Roman" w:hAnsi="Times New Roman" w:cs="Times New Roman"/>
          <w:sz w:val="24"/>
          <w:szCs w:val="24"/>
        </w:rPr>
      </w:pPr>
    </w:p>
    <w:p w:rsidR="00F82BAC" w:rsidRPr="00A20DC6" w:rsidRDefault="009E1DC2" w:rsidP="00F82BAC">
      <w:pPr>
        <w:pStyle w:val="NoSpacing"/>
        <w:rPr>
          <w:rFonts w:ascii="Times New Roman" w:hAnsi="Times New Roman" w:cs="Times New Roman"/>
          <w:b/>
          <w:bCs/>
          <w:sz w:val="24"/>
          <w:szCs w:val="24"/>
        </w:rPr>
      </w:pPr>
      <w:r w:rsidRPr="00A20DC6">
        <w:rPr>
          <w:rFonts w:ascii="Times New Roman" w:hAnsi="Times New Roman" w:cs="Times New Roman"/>
          <w:b/>
          <w:bCs/>
          <w:sz w:val="24"/>
          <w:szCs w:val="24"/>
        </w:rPr>
        <w:t>3</w:t>
      </w:r>
      <w:r w:rsidR="00F82BAC" w:rsidRPr="00A20DC6">
        <w:rPr>
          <w:rFonts w:ascii="Times New Roman" w:hAnsi="Times New Roman" w:cs="Times New Roman"/>
          <w:b/>
          <w:bCs/>
          <w:sz w:val="24"/>
          <w:szCs w:val="24"/>
        </w:rPr>
        <w:t>.</w:t>
      </w:r>
      <w:r w:rsidR="00F82BAC" w:rsidRPr="00A20DC6">
        <w:rPr>
          <w:rFonts w:ascii="Times New Roman" w:hAnsi="Times New Roman" w:cs="Times New Roman"/>
          <w:b/>
          <w:bCs/>
          <w:sz w:val="24"/>
          <w:szCs w:val="24"/>
        </w:rPr>
        <w:tab/>
        <w:t xml:space="preserve">Strafrechtelijke maatregelen </w:t>
      </w:r>
    </w:p>
    <w:p w:rsidR="00F82BAC" w:rsidRPr="00A20DC6" w:rsidRDefault="00F82BAC" w:rsidP="00F82BAC">
      <w:pPr>
        <w:pStyle w:val="NoSpacing"/>
        <w:rPr>
          <w:rFonts w:ascii="Times New Roman" w:hAnsi="Times New Roman" w:cs="Times New Roman"/>
          <w:b/>
          <w:bCs/>
          <w:sz w:val="24"/>
          <w:szCs w:val="24"/>
        </w:rPr>
      </w:pPr>
    </w:p>
    <w:p w:rsidR="00F82BAC" w:rsidRPr="0015431E" w:rsidRDefault="009E1DC2" w:rsidP="0015431E">
      <w:pPr>
        <w:pStyle w:val="NoSpacing"/>
        <w:rPr>
          <w:rFonts w:ascii="Times New Roman" w:hAnsi="Times New Roman" w:cs="Times New Roman"/>
          <w:sz w:val="24"/>
          <w:szCs w:val="24"/>
        </w:rPr>
      </w:pPr>
      <w:r w:rsidRPr="00A20DC6">
        <w:rPr>
          <w:rFonts w:ascii="Times New Roman" w:hAnsi="Times New Roman" w:cs="Times New Roman"/>
          <w:i/>
          <w:iCs/>
          <w:sz w:val="24"/>
          <w:szCs w:val="24"/>
        </w:rPr>
        <w:t>3</w:t>
      </w:r>
      <w:r w:rsidR="00F82BAC" w:rsidRPr="00A20DC6">
        <w:rPr>
          <w:rFonts w:ascii="Times New Roman" w:hAnsi="Times New Roman" w:cs="Times New Roman"/>
          <w:i/>
          <w:iCs/>
          <w:sz w:val="24"/>
          <w:szCs w:val="24"/>
        </w:rPr>
        <w:t xml:space="preserve">.1 </w:t>
      </w:r>
      <w:r w:rsidR="00F82BAC" w:rsidRPr="00A20DC6">
        <w:rPr>
          <w:rFonts w:ascii="Times New Roman" w:hAnsi="Times New Roman" w:cs="Times New Roman"/>
          <w:i/>
          <w:iCs/>
          <w:sz w:val="24"/>
          <w:szCs w:val="24"/>
        </w:rPr>
        <w:tab/>
        <w:t>Ontzetting uit het kiesrecht</w:t>
      </w:r>
    </w:p>
    <w:p w:rsidR="00047A3B" w:rsidRPr="00A20DC6" w:rsidRDefault="00047A3B" w:rsidP="00047A3B">
      <w:pPr>
        <w:pStyle w:val="NoSpacing"/>
        <w:rPr>
          <w:rFonts w:ascii="Times New Roman" w:hAnsi="Times New Roman" w:cs="Times New Roman"/>
          <w:sz w:val="24"/>
          <w:szCs w:val="24"/>
        </w:rPr>
      </w:pPr>
      <w:r w:rsidRPr="00A20DC6">
        <w:rPr>
          <w:rFonts w:ascii="Times New Roman" w:hAnsi="Times New Roman" w:cs="Times New Roman"/>
          <w:sz w:val="24"/>
          <w:szCs w:val="24"/>
        </w:rPr>
        <w:t xml:space="preserve">De Kiesraad heeft in zijn advies van 12 juni 2015 inzake het onderzoek naar strafbepalingen in het verkiezingsproces, gewezen op de inconsistentie die bestaat in de omgang met de mogelijkheid van ontzetting uit het kiesrecht. Ontzetting is op grond van artikel 54, tweede lid, van de Grondwet mogelijk als personen wegens het begaan van een daartoe bij de wet aangewezen delict bij onherroepelijke rechterlijke uitspraak zijn veroordeeld tot een vrijheidsstraf van ten minste een jaar. Daarbij heeft de wetgever bepaald dat van ontzetting alleen sprake kan zijn bij strafbare feiten die een ‘ernstige aantasting van de grondslagen van het Nederlandse staatsbestel’ behelzen (Kamerstukken II 1984/85, 18 973, nrs. 2-5). </w:t>
      </w:r>
    </w:p>
    <w:p w:rsidR="00047A3B" w:rsidRPr="00A20DC6" w:rsidRDefault="00047A3B" w:rsidP="00047A3B">
      <w:pPr>
        <w:pStyle w:val="NoSpacing"/>
        <w:rPr>
          <w:rFonts w:ascii="Times New Roman" w:hAnsi="Times New Roman" w:cs="Times New Roman"/>
          <w:sz w:val="24"/>
          <w:szCs w:val="24"/>
        </w:rPr>
      </w:pPr>
    </w:p>
    <w:p w:rsidR="00047A3B" w:rsidRPr="00A20DC6" w:rsidRDefault="00047A3B" w:rsidP="00047A3B">
      <w:pPr>
        <w:pStyle w:val="NoSpacing"/>
        <w:rPr>
          <w:rFonts w:ascii="Times New Roman" w:hAnsi="Times New Roman" w:cs="Times New Roman"/>
          <w:sz w:val="24"/>
          <w:szCs w:val="24"/>
        </w:rPr>
      </w:pPr>
      <w:r w:rsidRPr="00A20DC6">
        <w:rPr>
          <w:rFonts w:ascii="Times New Roman" w:hAnsi="Times New Roman" w:cs="Times New Roman"/>
          <w:sz w:val="24"/>
          <w:szCs w:val="24"/>
        </w:rPr>
        <w:t xml:space="preserve">Voor een veroordeling wegens het plegen van een terroristisch misdrijf, is vereist dat de rechter aanneemt dat het ten laste gelegde misdrijf is gepleegd met een terroristisch oogmerk. Van een terroristisch oogmerk is op grond van artikel 83a Sr sprake indien het feit is gepleegd met ‘het oogmerk om de bevolking of een deel der bevolking van een land ernstige vrees aan te jagen, dan wel een overheid of internationale organisatie wederrechtelijk te dwingen iets te doen, niet te doen of te dulden, dan wel de fundamentele politieke, constitutionele, economische of sociale structuren van een land of een internationale organisatie ernstig te ontwrichten of te vernietigen.’ De vaststelling dat sprake is van een terroristisch oogmerk, heeft volgens de Kiesraad tot gevolg dat het misdrijf waarvoor een betrokkene wordt veroordeeld valt te scharen onder het criterium voor ontzetting uit het kiesrecht: ‘ernstige aantasting van de grondslagen van het Nederlandse staatsbestel.’ Ontzetting uit het kiesrecht is tot dusver echter slechts mogelijk bij veroordeling wegens enkele terroristische misdrijven. Dit is het gevolg van het feit dat deze misdrijven tevens vallen onder andere categorieën misdrijven waarvoor ontzetting van het kiesrecht reeds mogelijk is (zoals misdrijven tegen de veiligheid van de Staat). De Kiesraad pleitte dan ook voor het mogelijk maken van ontzetting uit het kiesrecht bij onherroepelijke veroordeling wegens elk terroristisch misdrijf. Ook de leden van de Tweede Kamer Bisschop en Taverne hebben dit bepleit (Algemeen overleg 8 september 2016; Kamerstukken II 2016/17, 33 829, nr. 16) (zie eerder ook Kamerstukken II 2015/16, 31 142, nr. 54, blz. 3-5). </w:t>
      </w:r>
    </w:p>
    <w:p w:rsidR="00047A3B" w:rsidRPr="00A20DC6" w:rsidRDefault="00047A3B" w:rsidP="00047A3B">
      <w:pPr>
        <w:pStyle w:val="NoSpacing"/>
        <w:rPr>
          <w:rFonts w:ascii="Times New Roman" w:hAnsi="Times New Roman" w:cs="Times New Roman"/>
          <w:sz w:val="24"/>
          <w:szCs w:val="24"/>
        </w:rPr>
      </w:pPr>
    </w:p>
    <w:p w:rsidR="00047A3B" w:rsidRPr="00BF4E6D" w:rsidRDefault="00047A3B" w:rsidP="00BF4E6D">
      <w:pPr>
        <w:pStyle w:val="NoSpacing"/>
        <w:rPr>
          <w:rFonts w:ascii="Times New Roman" w:hAnsi="Times New Roman" w:cs="Times New Roman"/>
          <w:sz w:val="24"/>
          <w:szCs w:val="24"/>
          <w:u w:val="single"/>
        </w:rPr>
      </w:pPr>
      <w:r w:rsidRPr="00A20DC6">
        <w:rPr>
          <w:rFonts w:ascii="Times New Roman" w:hAnsi="Times New Roman" w:cs="Times New Roman"/>
          <w:sz w:val="24"/>
          <w:szCs w:val="24"/>
        </w:rPr>
        <w:t>Gelet op het aangehaalde criterium voor ontzetting van het kiesrecht, gaat het in geval van terroristische misdrijven om feiten die een ernstige aantasting van de grondslagen van ons staatsbestel betekenen. Het zijn strafbare feiten die, gelet op artikel 83a van het Wetboek van Strafrecht, naar hun aard een aan de Nederlandse staat en samenleving vijand</w:t>
      </w:r>
      <w:r w:rsidR="009B3FC1" w:rsidRPr="00A20DC6">
        <w:rPr>
          <w:rFonts w:ascii="Times New Roman" w:hAnsi="Times New Roman" w:cs="Times New Roman"/>
          <w:sz w:val="24"/>
          <w:szCs w:val="24"/>
        </w:rPr>
        <w:t>ige houding veronderstellen, op grond waarvan</w:t>
      </w:r>
      <w:r w:rsidRPr="00A20DC6">
        <w:rPr>
          <w:rFonts w:ascii="Times New Roman" w:hAnsi="Times New Roman" w:cs="Times New Roman"/>
          <w:sz w:val="24"/>
          <w:szCs w:val="24"/>
        </w:rPr>
        <w:t xml:space="preserve"> ontzetting uit het kiesrecht mogelijk moet zijn (in lijn met Kamerstukken</w:t>
      </w:r>
      <w:r w:rsidR="0042366D">
        <w:rPr>
          <w:rFonts w:ascii="Times New Roman" w:hAnsi="Times New Roman" w:cs="Times New Roman"/>
          <w:sz w:val="24"/>
          <w:szCs w:val="24"/>
        </w:rPr>
        <w:t xml:space="preserve"> II 1984/85, 18 973, nrs. 2-5, blz</w:t>
      </w:r>
      <w:r w:rsidRPr="00A20DC6">
        <w:rPr>
          <w:rFonts w:ascii="Times New Roman" w:hAnsi="Times New Roman" w:cs="Times New Roman"/>
          <w:sz w:val="24"/>
          <w:szCs w:val="24"/>
        </w:rPr>
        <w:t xml:space="preserve">. 23). In overleg met de Minister van Binnenlandse Zaken en Koninkrijksrelaties is daarom het voorliggende voorstel tot stand gekomen, dat erop is gericht de oplegging van de ontzetting uit het kiesrecht als bijkomende straf mogelijk te maken bij alle terroristische misdrijven waarvoor dit thans nog niet mogelijk is. Daarbij geldt nog als aanvullend vereiste dat oplegging enkel kan geschieden indien ter bestraffing van het terroristische misdrijf een onvoorwaardelijke gevangenisstraf van ten minste een jaar wordt opgelegd (zie artikel 54, tweede lid, van de Grondwet en artikel 28, derde lid, Sr). </w:t>
      </w:r>
      <w:r w:rsidRPr="00A20DC6">
        <w:rPr>
          <w:rFonts w:ascii="Times New Roman" w:hAnsi="Times New Roman" w:cs="Times New Roman"/>
          <w:bCs/>
          <w:sz w:val="24"/>
          <w:szCs w:val="24"/>
        </w:rPr>
        <w:t xml:space="preserve">Tot slot </w:t>
      </w:r>
      <w:r w:rsidRPr="00A20DC6">
        <w:rPr>
          <w:rFonts w:ascii="Times New Roman" w:hAnsi="Times New Roman" w:cs="Times New Roman"/>
          <w:sz w:val="24"/>
          <w:szCs w:val="24"/>
        </w:rPr>
        <w:t xml:space="preserve">moet worden benadrukt dat de oplegging van de ontzetting, net zoals bij elke </w:t>
      </w:r>
      <w:r w:rsidRPr="00BF4E6D">
        <w:rPr>
          <w:rFonts w:ascii="Times New Roman" w:hAnsi="Times New Roman" w:cs="Times New Roman"/>
          <w:sz w:val="24"/>
          <w:szCs w:val="24"/>
        </w:rPr>
        <w:t xml:space="preserve">andere (bijkomende) straf, een discretionaire bevoegdheid van de rechter betreft. De rechter zal bij zijn beslissing al dan </w:t>
      </w:r>
      <w:r w:rsidR="002E7F3E" w:rsidRPr="00BF4E6D">
        <w:rPr>
          <w:rFonts w:ascii="Times New Roman" w:hAnsi="Times New Roman" w:cs="Times New Roman"/>
          <w:sz w:val="24"/>
          <w:szCs w:val="24"/>
        </w:rPr>
        <w:t xml:space="preserve">niet over te gaan tot </w:t>
      </w:r>
      <w:r w:rsidRPr="00BF4E6D">
        <w:rPr>
          <w:rFonts w:ascii="Times New Roman" w:hAnsi="Times New Roman" w:cs="Times New Roman"/>
          <w:sz w:val="24"/>
          <w:szCs w:val="24"/>
        </w:rPr>
        <w:t xml:space="preserve">oplegging van de straf rekening houden met de ernst van het feit en de persoon van de </w:t>
      </w:r>
      <w:r w:rsidRPr="00413A29">
        <w:rPr>
          <w:rFonts w:ascii="Times New Roman" w:hAnsi="Times New Roman" w:cs="Times New Roman"/>
          <w:sz w:val="24"/>
          <w:szCs w:val="24"/>
        </w:rPr>
        <w:t>dader, de proportionaliteit van de straf, alsmede met eventuele negatieve gevolgen van de ontzetting uit het kiesrecht</w:t>
      </w:r>
      <w:r w:rsidR="00BF4E6D" w:rsidRPr="00413A29">
        <w:rPr>
          <w:rFonts w:ascii="Times New Roman" w:hAnsi="Times New Roman" w:cs="Times New Roman"/>
          <w:sz w:val="24"/>
          <w:szCs w:val="24"/>
        </w:rPr>
        <w:t xml:space="preserve"> </w:t>
      </w:r>
      <w:r w:rsidR="0002222F" w:rsidRPr="00413A29">
        <w:rPr>
          <w:rFonts w:ascii="Times New Roman" w:hAnsi="Times New Roman" w:cs="Times New Roman"/>
          <w:sz w:val="24"/>
          <w:szCs w:val="24"/>
        </w:rPr>
        <w:t>vanuit het perspectief van reï</w:t>
      </w:r>
      <w:r w:rsidR="00BF4E6D" w:rsidRPr="00413A29">
        <w:rPr>
          <w:rFonts w:ascii="Times New Roman" w:hAnsi="Times New Roman" w:cs="Times New Roman"/>
          <w:sz w:val="24"/>
          <w:szCs w:val="24"/>
        </w:rPr>
        <w:t>ntegratie.</w:t>
      </w:r>
    </w:p>
    <w:p w:rsidR="00A11151" w:rsidRPr="00A20DC6" w:rsidRDefault="00A11151" w:rsidP="00047A3B">
      <w:pPr>
        <w:pStyle w:val="NoSpacing"/>
        <w:rPr>
          <w:rFonts w:ascii="Times New Roman" w:hAnsi="Times New Roman" w:cs="Times New Roman"/>
          <w:sz w:val="24"/>
          <w:szCs w:val="24"/>
        </w:rPr>
      </w:pPr>
    </w:p>
    <w:p w:rsidR="00A11151" w:rsidRPr="00CB33AE" w:rsidRDefault="00971D21" w:rsidP="00717E51">
      <w:pPr>
        <w:pStyle w:val="NoSpacing"/>
        <w:rPr>
          <w:rFonts w:ascii="Times New Roman" w:hAnsi="Times New Roman" w:cs="Times New Roman"/>
          <w:sz w:val="24"/>
          <w:szCs w:val="24"/>
        </w:rPr>
      </w:pPr>
      <w:r w:rsidRPr="00A20DC6">
        <w:rPr>
          <w:rFonts w:ascii="Times New Roman" w:hAnsi="Times New Roman" w:cs="Times New Roman"/>
          <w:sz w:val="24"/>
          <w:szCs w:val="24"/>
        </w:rPr>
        <w:t xml:space="preserve">De Kiesraad sprak in zijn advies steun uit voor de beoogde wijziging. Het advies van de Kiesraad om tevens ook de </w:t>
      </w:r>
      <w:r w:rsidRPr="00CB33AE">
        <w:rPr>
          <w:rFonts w:ascii="Times New Roman" w:hAnsi="Times New Roman" w:cs="Times New Roman"/>
          <w:sz w:val="24"/>
          <w:szCs w:val="24"/>
        </w:rPr>
        <w:t xml:space="preserve">misdrijven van de artikelen 121a, 123a en 124a </w:t>
      </w:r>
      <w:r w:rsidR="00C953A3">
        <w:rPr>
          <w:rFonts w:ascii="Times New Roman" w:hAnsi="Times New Roman" w:cs="Times New Roman"/>
          <w:sz w:val="24"/>
          <w:szCs w:val="24"/>
        </w:rPr>
        <w:t xml:space="preserve">Sr </w:t>
      </w:r>
      <w:r w:rsidRPr="00CB33AE">
        <w:rPr>
          <w:rFonts w:ascii="Times New Roman" w:hAnsi="Times New Roman" w:cs="Times New Roman"/>
          <w:sz w:val="24"/>
          <w:szCs w:val="24"/>
        </w:rPr>
        <w:t>aanleiding te kunnen laten geven tot ontzetting van het kiesrecht, gaat het bestek van dit wets</w:t>
      </w:r>
      <w:r w:rsidR="00D85C26" w:rsidRPr="00CB33AE">
        <w:rPr>
          <w:rFonts w:ascii="Times New Roman" w:hAnsi="Times New Roman" w:cs="Times New Roman"/>
          <w:sz w:val="24"/>
          <w:szCs w:val="24"/>
        </w:rPr>
        <w:t xml:space="preserve">voorstel te boven: </w:t>
      </w:r>
      <w:r w:rsidRPr="00CB33AE">
        <w:rPr>
          <w:rFonts w:ascii="Times New Roman" w:hAnsi="Times New Roman" w:cs="Times New Roman"/>
          <w:sz w:val="24"/>
          <w:szCs w:val="24"/>
        </w:rPr>
        <w:t xml:space="preserve">bij deze misdrijven </w:t>
      </w:r>
      <w:r w:rsidR="0042366D">
        <w:rPr>
          <w:rFonts w:ascii="Times New Roman" w:hAnsi="Times New Roman" w:cs="Times New Roman"/>
          <w:sz w:val="24"/>
          <w:szCs w:val="24"/>
        </w:rPr>
        <w:t xml:space="preserve">gaat het </w:t>
      </w:r>
      <w:r w:rsidR="00D85C26" w:rsidRPr="00CB33AE">
        <w:rPr>
          <w:rFonts w:ascii="Times New Roman" w:hAnsi="Times New Roman" w:cs="Times New Roman"/>
          <w:sz w:val="24"/>
          <w:szCs w:val="24"/>
        </w:rPr>
        <w:t xml:space="preserve">immers </w:t>
      </w:r>
      <w:r w:rsidRPr="00CB33AE">
        <w:rPr>
          <w:rFonts w:ascii="Times New Roman" w:hAnsi="Times New Roman" w:cs="Times New Roman"/>
          <w:sz w:val="24"/>
          <w:szCs w:val="24"/>
        </w:rPr>
        <w:t>niet om terroris</w:t>
      </w:r>
      <w:r w:rsidR="00A612B4" w:rsidRPr="00CB33AE">
        <w:rPr>
          <w:rFonts w:ascii="Times New Roman" w:hAnsi="Times New Roman" w:cs="Times New Roman"/>
          <w:sz w:val="24"/>
          <w:szCs w:val="24"/>
        </w:rPr>
        <w:t>tische misdrijven.</w:t>
      </w:r>
      <w:r w:rsidR="00EE6405" w:rsidRPr="00CB33AE">
        <w:rPr>
          <w:rFonts w:ascii="Times New Roman" w:hAnsi="Times New Roman" w:cs="Times New Roman"/>
          <w:sz w:val="24"/>
          <w:szCs w:val="24"/>
        </w:rPr>
        <w:t xml:space="preserve"> </w:t>
      </w:r>
      <w:r w:rsidR="00717E51" w:rsidRPr="00CB33AE">
        <w:rPr>
          <w:rFonts w:ascii="Times New Roman" w:hAnsi="Times New Roman" w:cs="Times New Roman"/>
          <w:sz w:val="24"/>
          <w:szCs w:val="24"/>
        </w:rPr>
        <w:t>Verder zijn de door de Kiesraad genoemde misdrijven door de wetgever eerder niet onder de categorie misdrijven gebracht waarvoor uitsluiting mogelijk is. Er is geen aanleiding om de huidige indeling of het criterium dat ten grondslag ligt aan de indeling waarvoor ontzetting mogelijk is, te heroverwegen, zoals eerder is vermeld in de brief van de Minister van Binnenlandse Zaken en Koninkrijksrelaties (Kamerstukk</w:t>
      </w:r>
      <w:r w:rsidR="0042366D">
        <w:rPr>
          <w:rFonts w:ascii="Times New Roman" w:hAnsi="Times New Roman" w:cs="Times New Roman"/>
          <w:sz w:val="24"/>
          <w:szCs w:val="24"/>
        </w:rPr>
        <w:t>en II 2015/16, 31 142, nr. 54, blz</w:t>
      </w:r>
      <w:r w:rsidR="00717E51" w:rsidRPr="00CB33AE">
        <w:rPr>
          <w:rFonts w:ascii="Times New Roman" w:hAnsi="Times New Roman" w:cs="Times New Roman"/>
          <w:sz w:val="24"/>
          <w:szCs w:val="24"/>
        </w:rPr>
        <w:t xml:space="preserve">. 4). </w:t>
      </w:r>
    </w:p>
    <w:p w:rsidR="00F82BAC" w:rsidRPr="00CB33AE" w:rsidRDefault="00F82BAC" w:rsidP="00F82BAC">
      <w:pPr>
        <w:pStyle w:val="NoSpacing"/>
        <w:rPr>
          <w:rFonts w:ascii="Times New Roman" w:hAnsi="Times New Roman" w:cs="Times New Roman"/>
          <w:sz w:val="24"/>
          <w:szCs w:val="24"/>
        </w:rPr>
      </w:pPr>
    </w:p>
    <w:p w:rsidR="00F82BAC" w:rsidRPr="00CB33AE" w:rsidRDefault="009E1DC2" w:rsidP="00F82BAC">
      <w:pPr>
        <w:pStyle w:val="NoSpacing"/>
        <w:rPr>
          <w:rFonts w:ascii="Times New Roman" w:hAnsi="Times New Roman" w:cs="Times New Roman"/>
          <w:i/>
          <w:iCs/>
          <w:sz w:val="24"/>
          <w:szCs w:val="24"/>
        </w:rPr>
      </w:pPr>
      <w:r w:rsidRPr="00CB33AE">
        <w:rPr>
          <w:rFonts w:ascii="Times New Roman" w:hAnsi="Times New Roman" w:cs="Times New Roman"/>
          <w:i/>
          <w:iCs/>
          <w:sz w:val="24"/>
          <w:szCs w:val="24"/>
        </w:rPr>
        <w:t>3</w:t>
      </w:r>
      <w:r w:rsidR="0015431E">
        <w:rPr>
          <w:rFonts w:ascii="Times New Roman" w:hAnsi="Times New Roman" w:cs="Times New Roman"/>
          <w:i/>
          <w:iCs/>
          <w:sz w:val="24"/>
          <w:szCs w:val="24"/>
        </w:rPr>
        <w:t>.2</w:t>
      </w:r>
      <w:r w:rsidR="00F82BAC" w:rsidRPr="00CB33AE">
        <w:rPr>
          <w:rFonts w:ascii="Times New Roman" w:hAnsi="Times New Roman" w:cs="Times New Roman"/>
          <w:i/>
          <w:iCs/>
          <w:sz w:val="24"/>
          <w:szCs w:val="24"/>
        </w:rPr>
        <w:tab/>
        <w:t>Aanmerken als voorbereidingsmisdrijf (artikel 83b Sr)</w:t>
      </w:r>
    </w:p>
    <w:p w:rsidR="00F82BAC" w:rsidRPr="00A20DC6" w:rsidRDefault="00F82BAC" w:rsidP="00C953A3">
      <w:pPr>
        <w:pStyle w:val="NoSpacing"/>
        <w:rPr>
          <w:rFonts w:ascii="Times New Roman" w:hAnsi="Times New Roman" w:cs="Times New Roman"/>
          <w:sz w:val="24"/>
          <w:szCs w:val="24"/>
        </w:rPr>
      </w:pPr>
      <w:r w:rsidRPr="00CB33AE">
        <w:rPr>
          <w:rFonts w:ascii="Times New Roman" w:hAnsi="Times New Roman" w:cs="Times New Roman"/>
          <w:sz w:val="24"/>
          <w:szCs w:val="24"/>
        </w:rPr>
        <w:t>Voorgesteld wordt om de misdrijven training voor terrorisme (artikel 134a Sr) en financieren van terrorisme (artikel 421 Sr) beide in artikel</w:t>
      </w:r>
      <w:r w:rsidRPr="00A20DC6">
        <w:rPr>
          <w:rFonts w:ascii="Times New Roman" w:hAnsi="Times New Roman" w:cs="Times New Roman"/>
          <w:sz w:val="24"/>
          <w:szCs w:val="24"/>
        </w:rPr>
        <w:t xml:space="preserve"> 83b Sr aan te wijzen als misdrijf ter voorbereiding of vergemakkelijking van een terroristisch misdrijf. Eerder is dit niet gebeurd </w:t>
      </w:r>
      <w:r w:rsidR="00C953A3">
        <w:rPr>
          <w:rFonts w:ascii="Times New Roman" w:hAnsi="Times New Roman" w:cs="Times New Roman"/>
          <w:sz w:val="24"/>
          <w:szCs w:val="24"/>
        </w:rPr>
        <w:t xml:space="preserve">– hoewel het kaderbesluit terrorismebestrijding (2008/919/JBZ) daartoe wel enige aanleiding gaf – waarschijnlijk </w:t>
      </w:r>
      <w:r w:rsidRPr="00A20DC6">
        <w:rPr>
          <w:rFonts w:ascii="Times New Roman" w:hAnsi="Times New Roman" w:cs="Times New Roman"/>
          <w:sz w:val="24"/>
          <w:szCs w:val="24"/>
        </w:rPr>
        <w:t>omdat deze misdrijven naar hun inhoud al de voorbereiding of vergemakke</w:t>
      </w:r>
      <w:r w:rsidR="00455F97" w:rsidRPr="00A20DC6">
        <w:rPr>
          <w:rFonts w:ascii="Times New Roman" w:hAnsi="Times New Roman" w:cs="Times New Roman"/>
          <w:sz w:val="24"/>
          <w:szCs w:val="24"/>
        </w:rPr>
        <w:t>lijk</w:t>
      </w:r>
      <w:r w:rsidRPr="00A20DC6">
        <w:rPr>
          <w:rFonts w:ascii="Times New Roman" w:hAnsi="Times New Roman" w:cs="Times New Roman"/>
          <w:sz w:val="24"/>
          <w:szCs w:val="24"/>
        </w:rPr>
        <w:t xml:space="preserve">ing van terroristische misdrijven behelzen. </w:t>
      </w:r>
      <w:r w:rsidR="00C953A3">
        <w:rPr>
          <w:rFonts w:ascii="Times New Roman" w:hAnsi="Times New Roman" w:cs="Times New Roman"/>
          <w:sz w:val="24"/>
          <w:szCs w:val="24"/>
        </w:rPr>
        <w:t xml:space="preserve">Dat behoefde niet extra te worden geëxpliciteerd door opneming in artikel 83b Sr. </w:t>
      </w:r>
      <w:r w:rsidRPr="00A20DC6">
        <w:rPr>
          <w:rFonts w:ascii="Times New Roman" w:hAnsi="Times New Roman" w:cs="Times New Roman"/>
          <w:sz w:val="24"/>
          <w:szCs w:val="24"/>
        </w:rPr>
        <w:t>Ze bestaan ook niet – zoals bij de andere in artikel 83b Sr aangewezen misdrijven – uit een misdrijf dat ziet op bescherming van een algemeen rechtsgoed, en dat onder bepaalde omstandigheden kan worden aangemerkt als een misdrijf tot voorbereiding van terroristische misdrij</w:t>
      </w:r>
      <w:r w:rsidRPr="00C953A3">
        <w:rPr>
          <w:rFonts w:ascii="Times New Roman" w:hAnsi="Times New Roman" w:cs="Times New Roman"/>
          <w:sz w:val="24"/>
          <w:szCs w:val="24"/>
        </w:rPr>
        <w:t xml:space="preserve">ven. Een reden om de artikelen 134a en 421 Sr nu wel aan te wijzen als voorbereidingsmisdrijf in de zin van artikel 83b Sr is </w:t>
      </w:r>
      <w:r w:rsidR="0042366D">
        <w:rPr>
          <w:rFonts w:ascii="Times New Roman" w:hAnsi="Times New Roman" w:cs="Times New Roman"/>
          <w:sz w:val="24"/>
          <w:szCs w:val="24"/>
        </w:rPr>
        <w:t xml:space="preserve">dat </w:t>
      </w:r>
      <w:r w:rsidRPr="00C953A3">
        <w:rPr>
          <w:rFonts w:ascii="Times New Roman" w:hAnsi="Times New Roman" w:cs="Times New Roman"/>
          <w:sz w:val="24"/>
          <w:szCs w:val="24"/>
        </w:rPr>
        <w:t xml:space="preserve">deze </w:t>
      </w:r>
      <w:r w:rsidR="00C953A3" w:rsidRPr="00C953A3">
        <w:rPr>
          <w:rFonts w:ascii="Times New Roman" w:hAnsi="Times New Roman" w:cs="Times New Roman"/>
          <w:sz w:val="24"/>
          <w:szCs w:val="24"/>
        </w:rPr>
        <w:t xml:space="preserve">misdrijven in </w:t>
      </w:r>
      <w:r w:rsidRPr="00C953A3">
        <w:rPr>
          <w:rFonts w:ascii="Times New Roman" w:hAnsi="Times New Roman" w:cs="Times New Roman"/>
          <w:sz w:val="24"/>
          <w:szCs w:val="24"/>
        </w:rPr>
        <w:t>internationaal verband steeds meer als zo’n misdrijf worden aangemerkt: dit is bijvo</w:t>
      </w:r>
      <w:r w:rsidR="00347075" w:rsidRPr="00C953A3">
        <w:rPr>
          <w:rFonts w:ascii="Times New Roman" w:hAnsi="Times New Roman" w:cs="Times New Roman"/>
          <w:sz w:val="24"/>
          <w:szCs w:val="24"/>
        </w:rPr>
        <w:t xml:space="preserve">orbeeld het geval in de nieuwe </w:t>
      </w:r>
      <w:r w:rsidRPr="00C953A3">
        <w:rPr>
          <w:rFonts w:ascii="Times New Roman" w:hAnsi="Times New Roman" w:cs="Times New Roman"/>
          <w:sz w:val="24"/>
          <w:szCs w:val="24"/>
        </w:rPr>
        <w:t>richtlijn terrorismebestrijding. Bovendien wordt op deze wijze bewerkstelligd dat de strafbaarstelling van financieren van terrorisme van artikel 421 Sr ook van toepassing</w:t>
      </w:r>
      <w:r w:rsidR="00BE18A5" w:rsidRPr="00C953A3">
        <w:rPr>
          <w:rFonts w:ascii="Times New Roman" w:hAnsi="Times New Roman" w:cs="Times New Roman"/>
          <w:sz w:val="24"/>
          <w:szCs w:val="24"/>
        </w:rPr>
        <w:t xml:space="preserve"> is</w:t>
      </w:r>
      <w:r w:rsidRPr="00C953A3">
        <w:rPr>
          <w:rFonts w:ascii="Times New Roman" w:hAnsi="Times New Roman" w:cs="Times New Roman"/>
          <w:sz w:val="24"/>
          <w:szCs w:val="24"/>
        </w:rPr>
        <w:t xml:space="preserve"> op artikel 134a Sr.</w:t>
      </w:r>
      <w:r w:rsidRPr="00A20DC6">
        <w:rPr>
          <w:rFonts w:ascii="Times New Roman" w:hAnsi="Times New Roman" w:cs="Times New Roman"/>
          <w:sz w:val="24"/>
          <w:szCs w:val="24"/>
        </w:rPr>
        <w:t xml:space="preserve"> </w:t>
      </w:r>
    </w:p>
    <w:p w:rsidR="00F82BAC" w:rsidRPr="00A20DC6" w:rsidRDefault="00F82BAC" w:rsidP="00F82BAC">
      <w:pPr>
        <w:pStyle w:val="NoSpacing"/>
        <w:rPr>
          <w:rFonts w:ascii="Times New Roman" w:hAnsi="Times New Roman" w:cs="Times New Roman"/>
          <w:sz w:val="24"/>
          <w:szCs w:val="24"/>
        </w:rPr>
      </w:pPr>
    </w:p>
    <w:p w:rsidR="00A67AC4" w:rsidRPr="00A20DC6" w:rsidRDefault="00C06CC2" w:rsidP="00A82546">
      <w:pPr>
        <w:pStyle w:val="NoSpacing"/>
        <w:rPr>
          <w:rFonts w:ascii="Times New Roman" w:hAnsi="Times New Roman" w:cs="Times New Roman"/>
          <w:sz w:val="24"/>
          <w:szCs w:val="24"/>
        </w:rPr>
      </w:pPr>
      <w:r w:rsidRPr="00A20DC6">
        <w:rPr>
          <w:rFonts w:ascii="Times New Roman" w:hAnsi="Times New Roman" w:cs="Times New Roman"/>
          <w:sz w:val="24"/>
          <w:szCs w:val="24"/>
        </w:rPr>
        <w:t>De NOvA</w:t>
      </w:r>
      <w:r w:rsidR="00436C6E" w:rsidRPr="00A20DC6">
        <w:rPr>
          <w:rFonts w:ascii="Times New Roman" w:hAnsi="Times New Roman" w:cs="Times New Roman"/>
          <w:sz w:val="24"/>
          <w:szCs w:val="24"/>
        </w:rPr>
        <w:t xml:space="preserve"> </w:t>
      </w:r>
      <w:r w:rsidRPr="00A20DC6">
        <w:rPr>
          <w:rFonts w:ascii="Times New Roman" w:hAnsi="Times New Roman" w:cs="Times New Roman"/>
          <w:sz w:val="24"/>
          <w:szCs w:val="24"/>
        </w:rPr>
        <w:t xml:space="preserve">gaf een </w:t>
      </w:r>
      <w:r w:rsidR="00436C6E" w:rsidRPr="00A20DC6">
        <w:rPr>
          <w:rFonts w:ascii="Times New Roman" w:hAnsi="Times New Roman" w:cs="Times New Roman"/>
          <w:sz w:val="24"/>
          <w:szCs w:val="24"/>
        </w:rPr>
        <w:t>voorbeeld van een ketting</w:t>
      </w:r>
      <w:r w:rsidR="00B32398" w:rsidRPr="00A20DC6">
        <w:rPr>
          <w:rFonts w:ascii="Times New Roman" w:hAnsi="Times New Roman" w:cs="Times New Roman"/>
          <w:sz w:val="24"/>
          <w:szCs w:val="24"/>
        </w:rPr>
        <w:t xml:space="preserve"> van strafbare feiten</w:t>
      </w:r>
      <w:r w:rsidR="00436C6E" w:rsidRPr="00A20DC6">
        <w:rPr>
          <w:rFonts w:ascii="Times New Roman" w:hAnsi="Times New Roman" w:cs="Times New Roman"/>
          <w:sz w:val="24"/>
          <w:szCs w:val="24"/>
        </w:rPr>
        <w:t xml:space="preserve"> gerelateerd aan terrorisme</w:t>
      </w:r>
      <w:r w:rsidR="00FD5748" w:rsidRPr="00A20DC6">
        <w:rPr>
          <w:rFonts w:ascii="Times New Roman" w:hAnsi="Times New Roman" w:cs="Times New Roman"/>
          <w:sz w:val="24"/>
          <w:szCs w:val="24"/>
        </w:rPr>
        <w:t xml:space="preserve">, </w:t>
      </w:r>
      <w:r w:rsidRPr="00A20DC6">
        <w:rPr>
          <w:rFonts w:ascii="Times New Roman" w:hAnsi="Times New Roman" w:cs="Times New Roman"/>
          <w:sz w:val="24"/>
          <w:szCs w:val="24"/>
        </w:rPr>
        <w:t>waarmee zij</w:t>
      </w:r>
      <w:r w:rsidR="00FD5748" w:rsidRPr="00A20DC6">
        <w:rPr>
          <w:rFonts w:ascii="Times New Roman" w:hAnsi="Times New Roman" w:cs="Times New Roman"/>
          <w:sz w:val="24"/>
          <w:szCs w:val="24"/>
        </w:rPr>
        <w:t xml:space="preserve"> wilde illustreren wat het effect </w:t>
      </w:r>
      <w:r w:rsidR="009C0E3F" w:rsidRPr="00A20DC6">
        <w:rPr>
          <w:rFonts w:ascii="Times New Roman" w:hAnsi="Times New Roman" w:cs="Times New Roman"/>
          <w:sz w:val="24"/>
          <w:szCs w:val="24"/>
        </w:rPr>
        <w:t xml:space="preserve">– in de zin van </w:t>
      </w:r>
      <w:r w:rsidR="00EE3274" w:rsidRPr="00A20DC6">
        <w:rPr>
          <w:rFonts w:ascii="Times New Roman" w:hAnsi="Times New Roman" w:cs="Times New Roman"/>
          <w:sz w:val="24"/>
          <w:szCs w:val="24"/>
        </w:rPr>
        <w:t>vergroting van de</w:t>
      </w:r>
      <w:r w:rsidR="009C0E3F" w:rsidRPr="00A20DC6">
        <w:rPr>
          <w:rFonts w:ascii="Times New Roman" w:hAnsi="Times New Roman" w:cs="Times New Roman"/>
          <w:sz w:val="24"/>
          <w:szCs w:val="24"/>
        </w:rPr>
        <w:t xml:space="preserve"> reikwijdte van de strafwet –</w:t>
      </w:r>
      <w:r w:rsidR="00EE3274" w:rsidRPr="00A20DC6">
        <w:rPr>
          <w:rFonts w:ascii="Times New Roman" w:hAnsi="Times New Roman" w:cs="Times New Roman"/>
          <w:sz w:val="24"/>
          <w:szCs w:val="24"/>
        </w:rPr>
        <w:t xml:space="preserve"> </w:t>
      </w:r>
      <w:r w:rsidR="00FD5748" w:rsidRPr="00A20DC6">
        <w:rPr>
          <w:rFonts w:ascii="Times New Roman" w:hAnsi="Times New Roman" w:cs="Times New Roman"/>
          <w:sz w:val="24"/>
          <w:szCs w:val="24"/>
        </w:rPr>
        <w:t xml:space="preserve">zou kunnen zijn als </w:t>
      </w:r>
      <w:r w:rsidR="009C0E3F" w:rsidRPr="00A20DC6">
        <w:rPr>
          <w:rFonts w:ascii="Times New Roman" w:hAnsi="Times New Roman" w:cs="Times New Roman"/>
          <w:sz w:val="24"/>
          <w:szCs w:val="24"/>
        </w:rPr>
        <w:t xml:space="preserve">de </w:t>
      </w:r>
      <w:r w:rsidR="00FD5748" w:rsidRPr="00A20DC6">
        <w:rPr>
          <w:rFonts w:ascii="Times New Roman" w:hAnsi="Times New Roman" w:cs="Times New Roman"/>
          <w:sz w:val="24"/>
          <w:szCs w:val="24"/>
        </w:rPr>
        <w:t xml:space="preserve">verschillende misdrijven </w:t>
      </w:r>
      <w:r w:rsidR="009C0E3F" w:rsidRPr="00A20DC6">
        <w:rPr>
          <w:rFonts w:ascii="Times New Roman" w:hAnsi="Times New Roman" w:cs="Times New Roman"/>
          <w:sz w:val="24"/>
          <w:szCs w:val="24"/>
        </w:rPr>
        <w:t xml:space="preserve">die zijn of worden aangemerkt als misdrijf </w:t>
      </w:r>
      <w:r w:rsidR="00FD5748" w:rsidRPr="00A20DC6">
        <w:rPr>
          <w:rFonts w:ascii="Times New Roman" w:hAnsi="Times New Roman" w:cs="Times New Roman"/>
          <w:sz w:val="24"/>
          <w:szCs w:val="24"/>
        </w:rPr>
        <w:t xml:space="preserve">ter voorbereiding of vergemakkelijking van terrorisme, </w:t>
      </w:r>
      <w:r w:rsidR="009C0E3F" w:rsidRPr="00A20DC6">
        <w:rPr>
          <w:rFonts w:ascii="Times New Roman" w:hAnsi="Times New Roman" w:cs="Times New Roman"/>
          <w:sz w:val="24"/>
          <w:szCs w:val="24"/>
        </w:rPr>
        <w:t xml:space="preserve">aan elkaar zouden worden gekoppeld in een tenlastelegging. </w:t>
      </w:r>
      <w:r w:rsidRPr="00A20DC6">
        <w:rPr>
          <w:rFonts w:ascii="Times New Roman" w:hAnsi="Times New Roman" w:cs="Times New Roman"/>
          <w:sz w:val="24"/>
          <w:szCs w:val="24"/>
        </w:rPr>
        <w:t>Het voorbeeld heeft</w:t>
      </w:r>
      <w:r w:rsidR="00B32398" w:rsidRPr="00A20DC6">
        <w:rPr>
          <w:rFonts w:ascii="Times New Roman" w:hAnsi="Times New Roman" w:cs="Times New Roman"/>
          <w:sz w:val="24"/>
          <w:szCs w:val="24"/>
        </w:rPr>
        <w:t xml:space="preserve"> een in hoge mate th</w:t>
      </w:r>
      <w:r w:rsidR="00A82546" w:rsidRPr="00A20DC6">
        <w:rPr>
          <w:rFonts w:ascii="Times New Roman" w:hAnsi="Times New Roman" w:cs="Times New Roman"/>
          <w:sz w:val="24"/>
          <w:szCs w:val="24"/>
        </w:rPr>
        <w:t>eoretisch karakter.</w:t>
      </w:r>
      <w:r w:rsidR="00A67AC4" w:rsidRPr="00A20DC6">
        <w:rPr>
          <w:rFonts w:ascii="Times New Roman" w:hAnsi="Times New Roman" w:cs="Times New Roman"/>
          <w:sz w:val="24"/>
          <w:szCs w:val="24"/>
        </w:rPr>
        <w:t xml:space="preserve"> In de tenlastelegging zal het handelen van dader die aan het begin staat van </w:t>
      </w:r>
      <w:r w:rsidR="00A82546" w:rsidRPr="00A20DC6">
        <w:rPr>
          <w:rFonts w:ascii="Times New Roman" w:hAnsi="Times New Roman" w:cs="Times New Roman"/>
          <w:sz w:val="24"/>
          <w:szCs w:val="24"/>
        </w:rPr>
        <w:t>een ketting van delicten gewoonlijk</w:t>
      </w:r>
      <w:r w:rsidR="00A67AC4" w:rsidRPr="00A20DC6">
        <w:rPr>
          <w:rFonts w:ascii="Times New Roman" w:hAnsi="Times New Roman" w:cs="Times New Roman"/>
          <w:sz w:val="24"/>
          <w:szCs w:val="24"/>
        </w:rPr>
        <w:t xml:space="preserve"> in de praktijk op een meer rechtstreekse wijze, via een daarop gericht opzet, moeten worden kunnen verbonden </w:t>
      </w:r>
      <w:r w:rsidR="00413A29">
        <w:rPr>
          <w:rFonts w:ascii="Times New Roman" w:hAnsi="Times New Roman" w:cs="Times New Roman"/>
          <w:sz w:val="24"/>
          <w:szCs w:val="24"/>
        </w:rPr>
        <w:t xml:space="preserve">aan </w:t>
      </w:r>
      <w:r w:rsidR="0072384E" w:rsidRPr="00A20DC6">
        <w:rPr>
          <w:rFonts w:ascii="Times New Roman" w:hAnsi="Times New Roman" w:cs="Times New Roman"/>
          <w:sz w:val="24"/>
          <w:szCs w:val="24"/>
        </w:rPr>
        <w:t>een</w:t>
      </w:r>
      <w:r w:rsidR="00A67AC4" w:rsidRPr="00A20DC6">
        <w:rPr>
          <w:rFonts w:ascii="Times New Roman" w:hAnsi="Times New Roman" w:cs="Times New Roman"/>
          <w:sz w:val="24"/>
          <w:szCs w:val="24"/>
        </w:rPr>
        <w:t xml:space="preserve"> </w:t>
      </w:r>
      <w:r w:rsidR="0072384E" w:rsidRPr="00A20DC6">
        <w:rPr>
          <w:rFonts w:ascii="Times New Roman" w:hAnsi="Times New Roman" w:cs="Times New Roman"/>
          <w:sz w:val="24"/>
          <w:szCs w:val="24"/>
        </w:rPr>
        <w:t xml:space="preserve">strafbaar </w:t>
      </w:r>
      <w:r w:rsidR="00A67AC4" w:rsidRPr="00A20DC6">
        <w:rPr>
          <w:rFonts w:ascii="Times New Roman" w:hAnsi="Times New Roman" w:cs="Times New Roman"/>
          <w:sz w:val="24"/>
          <w:szCs w:val="24"/>
        </w:rPr>
        <w:t xml:space="preserve">einddoel. In het voorbeeld dat de NOvA geeft van een persoon die </w:t>
      </w:r>
      <w:r w:rsidR="00A82546" w:rsidRPr="00A20DC6">
        <w:rPr>
          <w:rFonts w:ascii="Times New Roman" w:hAnsi="Times New Roman" w:cs="Times New Roman"/>
          <w:sz w:val="24"/>
          <w:szCs w:val="24"/>
        </w:rPr>
        <w:t xml:space="preserve">– </w:t>
      </w:r>
      <w:r w:rsidR="0072384E" w:rsidRPr="00A20DC6">
        <w:rPr>
          <w:rFonts w:ascii="Times New Roman" w:hAnsi="Times New Roman" w:cs="Times New Roman"/>
          <w:sz w:val="24"/>
          <w:szCs w:val="24"/>
        </w:rPr>
        <w:t xml:space="preserve">via een aantal tussenstappen – </w:t>
      </w:r>
      <w:r w:rsidR="00A67AC4" w:rsidRPr="00A20DC6">
        <w:rPr>
          <w:rFonts w:ascii="Times New Roman" w:hAnsi="Times New Roman" w:cs="Times New Roman"/>
          <w:sz w:val="24"/>
          <w:szCs w:val="24"/>
        </w:rPr>
        <w:t xml:space="preserve">probeert op te ruien tot een bedreiging met een terroristisch misdrijf, </w:t>
      </w:r>
      <w:r w:rsidR="00C17A1A" w:rsidRPr="00A20DC6">
        <w:rPr>
          <w:rFonts w:ascii="Times New Roman" w:hAnsi="Times New Roman" w:cs="Times New Roman"/>
          <w:sz w:val="24"/>
          <w:szCs w:val="24"/>
        </w:rPr>
        <w:t>hebben</w:t>
      </w:r>
      <w:r w:rsidR="00A67AC4" w:rsidRPr="00A20DC6">
        <w:rPr>
          <w:rFonts w:ascii="Times New Roman" w:hAnsi="Times New Roman" w:cs="Times New Roman"/>
          <w:sz w:val="24"/>
          <w:szCs w:val="24"/>
        </w:rPr>
        <w:t xml:space="preserve"> d</w:t>
      </w:r>
      <w:r w:rsidR="0072384E" w:rsidRPr="00A20DC6">
        <w:rPr>
          <w:rFonts w:ascii="Times New Roman" w:hAnsi="Times New Roman" w:cs="Times New Roman"/>
          <w:sz w:val="24"/>
          <w:szCs w:val="24"/>
        </w:rPr>
        <w:t>i</w:t>
      </w:r>
      <w:r w:rsidR="00A67AC4" w:rsidRPr="00A20DC6">
        <w:rPr>
          <w:rFonts w:ascii="Times New Roman" w:hAnsi="Times New Roman" w:cs="Times New Roman"/>
          <w:sz w:val="24"/>
          <w:szCs w:val="24"/>
        </w:rPr>
        <w:t xml:space="preserve">e </w:t>
      </w:r>
      <w:r w:rsidR="0072384E" w:rsidRPr="00A20DC6">
        <w:rPr>
          <w:rFonts w:ascii="Times New Roman" w:hAnsi="Times New Roman" w:cs="Times New Roman"/>
          <w:sz w:val="24"/>
          <w:szCs w:val="24"/>
        </w:rPr>
        <w:t xml:space="preserve">tussenstappen en de vraag of deze </w:t>
      </w:r>
      <w:r w:rsidR="00A67AC4" w:rsidRPr="00A20DC6">
        <w:rPr>
          <w:rFonts w:ascii="Times New Roman" w:hAnsi="Times New Roman" w:cs="Times New Roman"/>
          <w:sz w:val="24"/>
          <w:szCs w:val="24"/>
        </w:rPr>
        <w:t>al dan niet als misdrijf ter voorbereiding of vergemakkelijk</w:t>
      </w:r>
      <w:r w:rsidR="0072384E" w:rsidRPr="00A20DC6">
        <w:rPr>
          <w:rFonts w:ascii="Times New Roman" w:hAnsi="Times New Roman" w:cs="Times New Roman"/>
          <w:sz w:val="24"/>
          <w:szCs w:val="24"/>
        </w:rPr>
        <w:t>ing van terrorisme kunnen worden aangemerkt, in die zin veel minder betekenis.</w:t>
      </w:r>
    </w:p>
    <w:p w:rsidR="003646C7" w:rsidRPr="00A20DC6" w:rsidRDefault="003646C7" w:rsidP="00F82BAC">
      <w:pPr>
        <w:pStyle w:val="NoSpacing"/>
        <w:rPr>
          <w:rFonts w:ascii="Times New Roman" w:hAnsi="Times New Roman" w:cs="Times New Roman"/>
          <w:sz w:val="24"/>
          <w:szCs w:val="24"/>
        </w:rPr>
      </w:pPr>
    </w:p>
    <w:p w:rsidR="00F82BAC" w:rsidRPr="00A20DC6" w:rsidRDefault="00F82BAC" w:rsidP="00A1166D">
      <w:pPr>
        <w:pStyle w:val="NoSpacing"/>
        <w:rPr>
          <w:rFonts w:ascii="Times New Roman" w:hAnsi="Times New Roman" w:cs="Times New Roman"/>
          <w:sz w:val="24"/>
          <w:szCs w:val="24"/>
        </w:rPr>
      </w:pPr>
      <w:r w:rsidRPr="00A20DC6">
        <w:rPr>
          <w:rFonts w:ascii="Times New Roman" w:hAnsi="Times New Roman" w:cs="Times New Roman"/>
          <w:sz w:val="24"/>
          <w:szCs w:val="24"/>
        </w:rPr>
        <w:t xml:space="preserve">Tevens wordt het voorstel gedaan om het misdrijf mensensmokkel als voorbereidingsfeit in de zin van artikel 83b Sr aan te wijzen. De infiltratie van terroristen in vluchtelingenstromen uit conflictgebieden waarvan het afgelopen jaar gevallen zijn waargenomen – </w:t>
      </w:r>
      <w:r w:rsidR="0042366D">
        <w:rPr>
          <w:rFonts w:ascii="Times New Roman" w:hAnsi="Times New Roman" w:cs="Times New Roman"/>
          <w:sz w:val="24"/>
          <w:szCs w:val="24"/>
        </w:rPr>
        <w:t xml:space="preserve">zoals </w:t>
      </w:r>
      <w:r w:rsidRPr="00A20DC6">
        <w:rPr>
          <w:rFonts w:ascii="Times New Roman" w:hAnsi="Times New Roman" w:cs="Times New Roman"/>
          <w:sz w:val="24"/>
          <w:szCs w:val="24"/>
        </w:rPr>
        <w:t xml:space="preserve">naar alle waarschijnlijkheid </w:t>
      </w:r>
      <w:r w:rsidR="0042366D">
        <w:rPr>
          <w:rFonts w:ascii="Times New Roman" w:hAnsi="Times New Roman" w:cs="Times New Roman"/>
          <w:sz w:val="24"/>
          <w:szCs w:val="24"/>
        </w:rPr>
        <w:t xml:space="preserve">bij de </w:t>
      </w:r>
      <w:r w:rsidRPr="00A20DC6">
        <w:rPr>
          <w:rFonts w:ascii="Times New Roman" w:hAnsi="Times New Roman" w:cs="Times New Roman"/>
          <w:sz w:val="24"/>
          <w:szCs w:val="24"/>
        </w:rPr>
        <w:t>daders van de aanslagen in Parijs van 13 november 2015 en de aanslagen in Brussel van 22 maar</w:t>
      </w:r>
      <w:r w:rsidR="00A1166D" w:rsidRPr="00A20DC6">
        <w:rPr>
          <w:rFonts w:ascii="Times New Roman" w:hAnsi="Times New Roman" w:cs="Times New Roman"/>
          <w:sz w:val="24"/>
          <w:szCs w:val="24"/>
        </w:rPr>
        <w:t>t 2016 – geeft hiertoe aanleiding</w:t>
      </w:r>
      <w:r w:rsidRPr="00A20DC6">
        <w:rPr>
          <w:rFonts w:ascii="Times New Roman" w:hAnsi="Times New Roman" w:cs="Times New Roman"/>
          <w:sz w:val="24"/>
          <w:szCs w:val="24"/>
        </w:rPr>
        <w:t>. Daders van mensensmokkel die het oogmerk hebben om deze terroristen opzettelijk behulpzaam te zijn bij het zich verschaffen van toegang tot Nederland of een andere lidstaat va</w:t>
      </w:r>
      <w:r w:rsidR="000B3F79" w:rsidRPr="00A20DC6">
        <w:rPr>
          <w:rFonts w:ascii="Times New Roman" w:hAnsi="Times New Roman" w:cs="Times New Roman"/>
          <w:sz w:val="24"/>
          <w:szCs w:val="24"/>
        </w:rPr>
        <w:t>n de Europese Unie, kunnen op deze wijze</w:t>
      </w:r>
      <w:r w:rsidRPr="00A20DC6">
        <w:rPr>
          <w:rFonts w:ascii="Times New Roman" w:hAnsi="Times New Roman" w:cs="Times New Roman"/>
          <w:sz w:val="24"/>
          <w:szCs w:val="24"/>
        </w:rPr>
        <w:t xml:space="preserve"> een sleutelrol </w:t>
      </w:r>
      <w:r w:rsidR="000B3F79" w:rsidRPr="00A20DC6">
        <w:rPr>
          <w:rFonts w:ascii="Times New Roman" w:hAnsi="Times New Roman" w:cs="Times New Roman"/>
          <w:sz w:val="24"/>
          <w:szCs w:val="24"/>
        </w:rPr>
        <w:t>spelen in</w:t>
      </w:r>
      <w:r w:rsidRPr="00A20DC6">
        <w:rPr>
          <w:rFonts w:ascii="Times New Roman" w:hAnsi="Times New Roman" w:cs="Times New Roman"/>
          <w:sz w:val="24"/>
          <w:szCs w:val="24"/>
        </w:rPr>
        <w:t xml:space="preserve"> het voorbereiden en vergemakkelijken van terroristische misdrijven. </w:t>
      </w:r>
      <w:r w:rsidR="00A1166D" w:rsidRPr="00A20DC6">
        <w:rPr>
          <w:rFonts w:ascii="Times New Roman" w:hAnsi="Times New Roman" w:cs="Times New Roman"/>
          <w:sz w:val="24"/>
          <w:szCs w:val="24"/>
        </w:rPr>
        <w:t xml:space="preserve">Indien dit geval is, geldt voorts een hoger strafmaximum (verhoging met een derde van de maximum gevangenisstraf). </w:t>
      </w:r>
    </w:p>
    <w:p w:rsidR="00F82BAC" w:rsidRPr="00A20DC6" w:rsidRDefault="00F82BAC" w:rsidP="008F0F7E">
      <w:pPr>
        <w:pStyle w:val="NoSpacing"/>
        <w:rPr>
          <w:rFonts w:ascii="Times New Roman" w:hAnsi="Times New Roman" w:cs="Times New Roman"/>
          <w:sz w:val="24"/>
          <w:szCs w:val="24"/>
        </w:rPr>
      </w:pPr>
    </w:p>
    <w:p w:rsidR="0023541D" w:rsidRPr="00A20DC6" w:rsidRDefault="009E1DC2" w:rsidP="005B5C5C">
      <w:pPr>
        <w:pStyle w:val="NoSpacing"/>
        <w:ind w:left="705" w:hanging="705"/>
        <w:rPr>
          <w:rFonts w:ascii="Times New Roman" w:hAnsi="Times New Roman" w:cs="Times New Roman"/>
          <w:b/>
          <w:bCs/>
          <w:sz w:val="24"/>
          <w:szCs w:val="24"/>
        </w:rPr>
      </w:pPr>
      <w:r w:rsidRPr="00A20DC6">
        <w:rPr>
          <w:rFonts w:ascii="Times New Roman" w:hAnsi="Times New Roman" w:cs="Times New Roman"/>
          <w:b/>
          <w:bCs/>
          <w:sz w:val="24"/>
          <w:szCs w:val="24"/>
        </w:rPr>
        <w:t>4</w:t>
      </w:r>
      <w:r w:rsidR="00482305" w:rsidRPr="00A20DC6">
        <w:rPr>
          <w:rFonts w:ascii="Times New Roman" w:hAnsi="Times New Roman" w:cs="Times New Roman"/>
          <w:b/>
          <w:bCs/>
          <w:sz w:val="24"/>
          <w:szCs w:val="24"/>
        </w:rPr>
        <w:t>.</w:t>
      </w:r>
      <w:r w:rsidR="00482305" w:rsidRPr="00A20DC6">
        <w:rPr>
          <w:rFonts w:ascii="Times New Roman" w:hAnsi="Times New Roman" w:cs="Times New Roman"/>
          <w:b/>
          <w:bCs/>
          <w:sz w:val="24"/>
          <w:szCs w:val="24"/>
        </w:rPr>
        <w:tab/>
        <w:t>Verbeteren</w:t>
      </w:r>
      <w:r w:rsidR="0030291F" w:rsidRPr="00A20DC6">
        <w:rPr>
          <w:rFonts w:ascii="Times New Roman" w:hAnsi="Times New Roman" w:cs="Times New Roman"/>
          <w:b/>
          <w:bCs/>
          <w:sz w:val="24"/>
          <w:szCs w:val="24"/>
        </w:rPr>
        <w:t xml:space="preserve"> van</w:t>
      </w:r>
      <w:r w:rsidR="00482305" w:rsidRPr="00A20DC6">
        <w:rPr>
          <w:rFonts w:ascii="Times New Roman" w:hAnsi="Times New Roman" w:cs="Times New Roman"/>
          <w:b/>
          <w:bCs/>
          <w:sz w:val="24"/>
          <w:szCs w:val="24"/>
        </w:rPr>
        <w:t xml:space="preserve"> mogelijkh</w:t>
      </w:r>
      <w:r w:rsidR="007A1914" w:rsidRPr="00A20DC6">
        <w:rPr>
          <w:rFonts w:ascii="Times New Roman" w:hAnsi="Times New Roman" w:cs="Times New Roman"/>
          <w:b/>
          <w:bCs/>
          <w:sz w:val="24"/>
          <w:szCs w:val="24"/>
        </w:rPr>
        <w:t>eden om onderzoek te verrichten</w:t>
      </w:r>
      <w:r w:rsidR="00482305" w:rsidRPr="00A20DC6">
        <w:rPr>
          <w:rFonts w:ascii="Times New Roman" w:hAnsi="Times New Roman" w:cs="Times New Roman"/>
          <w:b/>
          <w:bCs/>
          <w:sz w:val="24"/>
          <w:szCs w:val="24"/>
        </w:rPr>
        <w:t xml:space="preserve"> naar terroristische misdrijven</w:t>
      </w:r>
    </w:p>
    <w:p w:rsidR="00482305" w:rsidRPr="00A20DC6" w:rsidRDefault="00482305" w:rsidP="00ED7853">
      <w:pPr>
        <w:pStyle w:val="NoSpacing"/>
        <w:rPr>
          <w:rFonts w:ascii="Times New Roman" w:hAnsi="Times New Roman" w:cs="Times New Roman"/>
          <w:b/>
          <w:bCs/>
          <w:sz w:val="24"/>
          <w:szCs w:val="24"/>
        </w:rPr>
      </w:pPr>
    </w:p>
    <w:p w:rsidR="008F0F7E" w:rsidRPr="00A20DC6" w:rsidRDefault="009E1DC2" w:rsidP="00ED7853">
      <w:pPr>
        <w:pStyle w:val="NoSpacing"/>
        <w:rPr>
          <w:rFonts w:ascii="Times New Roman" w:hAnsi="Times New Roman" w:cs="Times New Roman"/>
          <w:i/>
          <w:iCs/>
          <w:sz w:val="24"/>
          <w:szCs w:val="24"/>
        </w:rPr>
      </w:pPr>
      <w:r w:rsidRPr="00A20DC6">
        <w:rPr>
          <w:rFonts w:ascii="Times New Roman" w:hAnsi="Times New Roman" w:cs="Times New Roman"/>
          <w:i/>
          <w:iCs/>
          <w:sz w:val="24"/>
          <w:szCs w:val="24"/>
        </w:rPr>
        <w:t>4</w:t>
      </w:r>
      <w:r w:rsidR="004302BE" w:rsidRPr="00A20DC6">
        <w:rPr>
          <w:rFonts w:ascii="Times New Roman" w:hAnsi="Times New Roman" w:cs="Times New Roman"/>
          <w:i/>
          <w:iCs/>
          <w:sz w:val="24"/>
          <w:szCs w:val="24"/>
        </w:rPr>
        <w:t>.1</w:t>
      </w:r>
      <w:r w:rsidR="004302BE" w:rsidRPr="00A20DC6">
        <w:rPr>
          <w:rFonts w:ascii="Times New Roman" w:hAnsi="Times New Roman" w:cs="Times New Roman"/>
          <w:i/>
          <w:iCs/>
          <w:sz w:val="24"/>
          <w:szCs w:val="24"/>
        </w:rPr>
        <w:tab/>
      </w:r>
      <w:r w:rsidR="008F0F7E" w:rsidRPr="00A20DC6">
        <w:rPr>
          <w:rFonts w:ascii="Times New Roman" w:hAnsi="Times New Roman" w:cs="Times New Roman"/>
          <w:i/>
          <w:iCs/>
          <w:sz w:val="24"/>
          <w:szCs w:val="24"/>
        </w:rPr>
        <w:t xml:space="preserve">Verlenging van voorlopige hechtenis zonder </w:t>
      </w:r>
      <w:r w:rsidR="00455F97" w:rsidRPr="00A20DC6">
        <w:rPr>
          <w:rFonts w:ascii="Times New Roman" w:hAnsi="Times New Roman" w:cs="Times New Roman"/>
          <w:i/>
          <w:iCs/>
          <w:sz w:val="24"/>
          <w:szCs w:val="24"/>
        </w:rPr>
        <w:t>ernstige</w:t>
      </w:r>
      <w:r w:rsidR="008F0F7E" w:rsidRPr="00A20DC6">
        <w:rPr>
          <w:rFonts w:ascii="Times New Roman" w:hAnsi="Times New Roman" w:cs="Times New Roman"/>
          <w:i/>
          <w:iCs/>
          <w:sz w:val="24"/>
          <w:szCs w:val="24"/>
        </w:rPr>
        <w:t xml:space="preserve"> bezwaren</w:t>
      </w:r>
    </w:p>
    <w:p w:rsidR="00F82BAC" w:rsidRPr="00A20DC6" w:rsidRDefault="00F82BAC" w:rsidP="00B10441">
      <w:pPr>
        <w:pStyle w:val="NoSpacing"/>
        <w:rPr>
          <w:rFonts w:ascii="Times New Roman" w:hAnsi="Times New Roman" w:cs="Times New Roman"/>
          <w:sz w:val="24"/>
          <w:szCs w:val="24"/>
        </w:rPr>
      </w:pPr>
    </w:p>
    <w:p w:rsidR="00F82BAC" w:rsidRPr="00A20DC6" w:rsidRDefault="009E1DC2" w:rsidP="00B10441">
      <w:pPr>
        <w:pStyle w:val="NoSpacing"/>
        <w:rPr>
          <w:rFonts w:ascii="Times New Roman" w:hAnsi="Times New Roman" w:cs="Times New Roman"/>
          <w:i/>
          <w:iCs/>
          <w:sz w:val="24"/>
          <w:szCs w:val="24"/>
        </w:rPr>
      </w:pPr>
      <w:r w:rsidRPr="00A20DC6">
        <w:rPr>
          <w:rFonts w:ascii="Times New Roman" w:hAnsi="Times New Roman" w:cs="Times New Roman"/>
          <w:i/>
          <w:iCs/>
          <w:sz w:val="24"/>
          <w:szCs w:val="24"/>
        </w:rPr>
        <w:t>4</w:t>
      </w:r>
      <w:r w:rsidR="00F82BAC" w:rsidRPr="00A20DC6">
        <w:rPr>
          <w:rFonts w:ascii="Times New Roman" w:hAnsi="Times New Roman" w:cs="Times New Roman"/>
          <w:i/>
          <w:iCs/>
          <w:sz w:val="24"/>
          <w:szCs w:val="24"/>
        </w:rPr>
        <w:t>.1.1</w:t>
      </w:r>
      <w:r w:rsidR="00F82BAC" w:rsidRPr="00A20DC6">
        <w:rPr>
          <w:rFonts w:ascii="Times New Roman" w:hAnsi="Times New Roman" w:cs="Times New Roman"/>
          <w:i/>
          <w:iCs/>
          <w:sz w:val="24"/>
          <w:szCs w:val="24"/>
        </w:rPr>
        <w:tab/>
        <w:t>Inleiding</w:t>
      </w:r>
    </w:p>
    <w:p w:rsidR="007A1914" w:rsidRPr="00A20DC6" w:rsidRDefault="004302BE" w:rsidP="00B10441">
      <w:pPr>
        <w:pStyle w:val="NoSpacing"/>
        <w:rPr>
          <w:rFonts w:ascii="Times New Roman" w:hAnsi="Times New Roman" w:cs="Times New Roman"/>
          <w:sz w:val="24"/>
          <w:szCs w:val="24"/>
        </w:rPr>
      </w:pPr>
      <w:r w:rsidRPr="00A20DC6">
        <w:rPr>
          <w:rFonts w:ascii="Times New Roman" w:hAnsi="Times New Roman" w:cs="Times New Roman"/>
          <w:sz w:val="24"/>
          <w:szCs w:val="24"/>
        </w:rPr>
        <w:t>Naar aanleiding van de motie van de leden Segers en Samsom</w:t>
      </w:r>
      <w:r w:rsidR="00BD23A1" w:rsidRPr="00A20DC6">
        <w:rPr>
          <w:rFonts w:ascii="Times New Roman" w:hAnsi="Times New Roman" w:cs="Times New Roman"/>
          <w:sz w:val="24"/>
          <w:szCs w:val="24"/>
        </w:rPr>
        <w:t xml:space="preserve"> inzake</w:t>
      </w:r>
      <w:r w:rsidR="003813A6" w:rsidRPr="00A20DC6">
        <w:rPr>
          <w:rFonts w:ascii="Times New Roman" w:hAnsi="Times New Roman" w:cs="Times New Roman"/>
          <w:sz w:val="24"/>
          <w:szCs w:val="24"/>
        </w:rPr>
        <w:t xml:space="preserve"> de wettelijke mogelijkheden voor voorlopige hechtenis bij terroristische misdrijven </w:t>
      </w:r>
      <w:r w:rsidR="00BD23A1" w:rsidRPr="00A20DC6">
        <w:rPr>
          <w:rFonts w:ascii="Times New Roman" w:hAnsi="Times New Roman" w:cs="Times New Roman"/>
          <w:sz w:val="24"/>
          <w:szCs w:val="24"/>
        </w:rPr>
        <w:t xml:space="preserve">(Kamerstukken II 2015/16, 29 754, nr. </w:t>
      </w:r>
      <w:r w:rsidR="001E6BCB" w:rsidRPr="00A20DC6">
        <w:rPr>
          <w:rFonts w:ascii="Times New Roman" w:hAnsi="Times New Roman" w:cs="Times New Roman"/>
          <w:sz w:val="24"/>
          <w:szCs w:val="24"/>
        </w:rPr>
        <w:t>379</w:t>
      </w:r>
      <w:r w:rsidR="00BD23A1" w:rsidRPr="00A20DC6">
        <w:rPr>
          <w:rFonts w:ascii="Times New Roman" w:hAnsi="Times New Roman" w:cs="Times New Roman"/>
          <w:sz w:val="24"/>
          <w:szCs w:val="24"/>
        </w:rPr>
        <w:t>)</w:t>
      </w:r>
      <w:r w:rsidRPr="00A20DC6">
        <w:rPr>
          <w:rFonts w:ascii="Times New Roman" w:hAnsi="Times New Roman" w:cs="Times New Roman"/>
          <w:sz w:val="24"/>
          <w:szCs w:val="24"/>
        </w:rPr>
        <w:t xml:space="preserve">, </w:t>
      </w:r>
      <w:r w:rsidR="00111FE6" w:rsidRPr="00A20DC6">
        <w:rPr>
          <w:rFonts w:ascii="Times New Roman" w:hAnsi="Times New Roman" w:cs="Times New Roman"/>
          <w:sz w:val="24"/>
          <w:szCs w:val="24"/>
        </w:rPr>
        <w:t>is in over</w:t>
      </w:r>
      <w:r w:rsidR="00BD23A1" w:rsidRPr="00A20DC6">
        <w:rPr>
          <w:rFonts w:ascii="Times New Roman" w:hAnsi="Times New Roman" w:cs="Times New Roman"/>
          <w:sz w:val="24"/>
          <w:szCs w:val="24"/>
        </w:rPr>
        <w:t>leg met het openbaar ministerie</w:t>
      </w:r>
      <w:r w:rsidR="00111FE6" w:rsidRPr="00A20DC6">
        <w:rPr>
          <w:rFonts w:ascii="Times New Roman" w:hAnsi="Times New Roman" w:cs="Times New Roman"/>
          <w:sz w:val="24"/>
          <w:szCs w:val="24"/>
        </w:rPr>
        <w:t xml:space="preserve"> gekeken naar mogelijke verbeteringen in de regeling voor de toepassing voor voorlopige hechtenis van verdachten van terroristische misdrijven</w:t>
      </w:r>
      <w:r w:rsidR="00B10441" w:rsidRPr="00A20DC6">
        <w:rPr>
          <w:rFonts w:ascii="Times New Roman" w:hAnsi="Times New Roman" w:cs="Times New Roman"/>
          <w:sz w:val="24"/>
          <w:szCs w:val="24"/>
        </w:rPr>
        <w:t>.</w:t>
      </w:r>
      <w:r w:rsidR="00BD23A1" w:rsidRPr="00A20DC6">
        <w:rPr>
          <w:rFonts w:ascii="Times New Roman" w:hAnsi="Times New Roman" w:cs="Times New Roman"/>
          <w:sz w:val="24"/>
          <w:szCs w:val="24"/>
        </w:rPr>
        <w:t xml:space="preserve"> </w:t>
      </w:r>
      <w:r w:rsidR="00111FE6" w:rsidRPr="00A20DC6">
        <w:rPr>
          <w:rFonts w:ascii="Times New Roman" w:hAnsi="Times New Roman" w:cs="Times New Roman"/>
          <w:sz w:val="24"/>
          <w:szCs w:val="24"/>
        </w:rPr>
        <w:t>Daaruit is een voorstel voor verruim</w:t>
      </w:r>
      <w:r w:rsidR="00736037" w:rsidRPr="00A20DC6">
        <w:rPr>
          <w:rFonts w:ascii="Times New Roman" w:hAnsi="Times New Roman" w:cs="Times New Roman"/>
          <w:sz w:val="24"/>
          <w:szCs w:val="24"/>
        </w:rPr>
        <w:t>ing naar voren gekomen met betrekking tot</w:t>
      </w:r>
      <w:r w:rsidR="00111FE6" w:rsidRPr="00A20DC6">
        <w:rPr>
          <w:rFonts w:ascii="Times New Roman" w:hAnsi="Times New Roman" w:cs="Times New Roman"/>
          <w:sz w:val="24"/>
          <w:szCs w:val="24"/>
        </w:rPr>
        <w:t xml:space="preserve"> de toepassing van gevangenhouding</w:t>
      </w:r>
      <w:r w:rsidR="00B10441" w:rsidRPr="00A20DC6">
        <w:rPr>
          <w:rFonts w:ascii="Times New Roman" w:hAnsi="Times New Roman" w:cs="Times New Roman"/>
          <w:sz w:val="24"/>
          <w:szCs w:val="24"/>
        </w:rPr>
        <w:t xml:space="preserve"> (Kamerstukken II 2015/16, 29 754, </w:t>
      </w:r>
      <w:r w:rsidR="0030291F" w:rsidRPr="00A20DC6">
        <w:rPr>
          <w:rFonts w:ascii="Times New Roman" w:hAnsi="Times New Roman" w:cs="Times New Roman"/>
          <w:sz w:val="24"/>
          <w:szCs w:val="24"/>
        </w:rPr>
        <w:t xml:space="preserve">nr. </w:t>
      </w:r>
      <w:r w:rsidR="00B10441" w:rsidRPr="00A20DC6">
        <w:rPr>
          <w:rFonts w:ascii="Times New Roman" w:hAnsi="Times New Roman" w:cs="Times New Roman"/>
          <w:sz w:val="24"/>
          <w:szCs w:val="24"/>
        </w:rPr>
        <w:t xml:space="preserve">394).  </w:t>
      </w:r>
    </w:p>
    <w:p w:rsidR="004302BE" w:rsidRPr="00A20DC6" w:rsidRDefault="004302BE" w:rsidP="008F0F7E">
      <w:pPr>
        <w:pStyle w:val="NoSpacing"/>
        <w:rPr>
          <w:rFonts w:ascii="Times New Roman" w:hAnsi="Times New Roman" w:cs="Times New Roman"/>
          <w:sz w:val="24"/>
          <w:szCs w:val="24"/>
        </w:rPr>
      </w:pPr>
    </w:p>
    <w:p w:rsidR="005817FC" w:rsidRPr="00A20DC6" w:rsidRDefault="00B10441" w:rsidP="00FC1286">
      <w:pPr>
        <w:pStyle w:val="NoSpacing"/>
        <w:rPr>
          <w:rFonts w:ascii="Times New Roman" w:hAnsi="Times New Roman" w:cs="Times New Roman"/>
          <w:sz w:val="24"/>
          <w:szCs w:val="24"/>
        </w:rPr>
      </w:pPr>
      <w:r w:rsidRPr="00A20DC6">
        <w:rPr>
          <w:rFonts w:ascii="Times New Roman" w:hAnsi="Times New Roman" w:cs="Times New Roman"/>
          <w:sz w:val="24"/>
          <w:szCs w:val="24"/>
        </w:rPr>
        <w:t>De regeling</w:t>
      </w:r>
      <w:r w:rsidR="00FC1286" w:rsidRPr="00A20DC6">
        <w:rPr>
          <w:rFonts w:ascii="Times New Roman" w:hAnsi="Times New Roman" w:cs="Times New Roman"/>
          <w:sz w:val="24"/>
          <w:szCs w:val="24"/>
        </w:rPr>
        <w:t xml:space="preserve"> inzake toepassing van voorlopige hechtenis is als volgt ingericht. </w:t>
      </w:r>
      <w:r w:rsidR="005817FC" w:rsidRPr="00A20DC6">
        <w:rPr>
          <w:rFonts w:ascii="Times New Roman" w:hAnsi="Times New Roman" w:cs="Times New Roman"/>
          <w:sz w:val="24"/>
          <w:szCs w:val="24"/>
        </w:rPr>
        <w:t xml:space="preserve">Na de periode van inverzekeringstelling kan de verdachte op vordering van de officier van justitie door de rechter-commissaris in bewaring worden gesteld. </w:t>
      </w:r>
      <w:r w:rsidR="00736037" w:rsidRPr="00A20DC6">
        <w:rPr>
          <w:rFonts w:ascii="Times New Roman" w:hAnsi="Times New Roman" w:cs="Times New Roman"/>
          <w:sz w:val="24"/>
          <w:szCs w:val="24"/>
        </w:rPr>
        <w:t>Met de bewaring, die maximaal veertien</w:t>
      </w:r>
      <w:r w:rsidR="005817FC" w:rsidRPr="00A20DC6">
        <w:rPr>
          <w:rFonts w:ascii="Times New Roman" w:hAnsi="Times New Roman" w:cs="Times New Roman"/>
          <w:sz w:val="24"/>
          <w:szCs w:val="24"/>
        </w:rPr>
        <w:t xml:space="preserve"> dagen duurt, vangt formeel de voorlopige hechtenis aan. Ten opzichte van de vereisten die gelden voor inverzekeringstelling, bestaan voor toepassing van voorlopige hechtenis in de vorm van bewaring drie nadere voorwaarden. De eerste voorwaarde is dat er ernstige bewaren bestaan tegen de verdachte: een sterkere vorm van verdenking. Uiteraard moeten die ernstige bezwaren tegen de verdachte een misdrijf betreffen waarvoor voorlopige hechtenis mogelijk is. De tweede voorwaarde is de aanwezigheid van een grond voor voorlopige hechtenis: in het bijzonder vluchtgevaar of een gewichtige reden van maatschappelijke veiligheid. De derde voorwaarde is dat wordt voldaan aan het anticipatiegebod: de rechter-commissaris dient na te gaan of de verdachte niet langere tijd in voorlopige hechtenis zal verblijven dan de duur van de onvoorwaardelijke vrijheidsstraf die hij bij berechting voor het misdrijf waarvan hij wordt verdacht, zou krijgen opgelegd. </w:t>
      </w:r>
    </w:p>
    <w:p w:rsidR="005817FC" w:rsidRPr="00A20DC6" w:rsidRDefault="005817FC" w:rsidP="005817FC">
      <w:pPr>
        <w:pStyle w:val="NoSpacing"/>
        <w:rPr>
          <w:rFonts w:ascii="Times New Roman" w:hAnsi="Times New Roman" w:cs="Times New Roman"/>
          <w:sz w:val="24"/>
          <w:szCs w:val="24"/>
        </w:rPr>
      </w:pPr>
    </w:p>
    <w:p w:rsidR="005817FC" w:rsidRPr="00A20DC6" w:rsidRDefault="005817FC" w:rsidP="005817FC">
      <w:pPr>
        <w:pStyle w:val="NoSpacing"/>
        <w:rPr>
          <w:rFonts w:ascii="Times New Roman" w:hAnsi="Times New Roman" w:cs="Times New Roman"/>
          <w:sz w:val="24"/>
          <w:szCs w:val="24"/>
        </w:rPr>
      </w:pPr>
      <w:r w:rsidRPr="00A20DC6">
        <w:rPr>
          <w:rFonts w:ascii="Times New Roman" w:hAnsi="Times New Roman" w:cs="Times New Roman"/>
          <w:sz w:val="24"/>
          <w:szCs w:val="24"/>
        </w:rPr>
        <w:t>Indien het misdrijf waarvan de in verzekering gestelde verdachte wordt verdacht een terrori</w:t>
      </w:r>
      <w:r w:rsidR="00FC1286" w:rsidRPr="00A20DC6">
        <w:rPr>
          <w:rFonts w:ascii="Times New Roman" w:hAnsi="Times New Roman" w:cs="Times New Roman"/>
          <w:sz w:val="24"/>
          <w:szCs w:val="24"/>
        </w:rPr>
        <w:t xml:space="preserve">stisch misdrijf betreft, kan bewaring volgen zonder </w:t>
      </w:r>
      <w:r w:rsidRPr="00A20DC6">
        <w:rPr>
          <w:rFonts w:ascii="Times New Roman" w:hAnsi="Times New Roman" w:cs="Times New Roman"/>
          <w:sz w:val="24"/>
          <w:szCs w:val="24"/>
        </w:rPr>
        <w:t xml:space="preserve">het vereiste van ernstige bezwaren – zie artikel 67, vierde lid, </w:t>
      </w:r>
      <w:r w:rsidR="00FC1286" w:rsidRPr="00A20DC6">
        <w:rPr>
          <w:rFonts w:ascii="Times New Roman" w:hAnsi="Times New Roman" w:cs="Times New Roman"/>
          <w:sz w:val="24"/>
          <w:szCs w:val="24"/>
        </w:rPr>
        <w:t>Sv</w:t>
      </w:r>
      <w:r w:rsidRPr="00A20DC6">
        <w:rPr>
          <w:rFonts w:ascii="Times New Roman" w:hAnsi="Times New Roman" w:cs="Times New Roman"/>
          <w:sz w:val="24"/>
          <w:szCs w:val="24"/>
        </w:rPr>
        <w:t>. Deze bredere mogelijkheid om een verdachte van een terroristisch misdrijf in bewaring te kunnen stellen, die alleen kan worden toegepast indien wel aan de overige voorwaarden voor voorlopige hechtenis wordt voldaan, is gecreëerd door de Wet verruiming mogelijkheden opsporing en vervolging terroristische misdrijven (Stb. 2006, 580; in werking getreden op 1 februari 20</w:t>
      </w:r>
      <w:r w:rsidR="00FC1286" w:rsidRPr="00A20DC6">
        <w:rPr>
          <w:rFonts w:ascii="Times New Roman" w:hAnsi="Times New Roman" w:cs="Times New Roman"/>
          <w:sz w:val="24"/>
          <w:szCs w:val="24"/>
        </w:rPr>
        <w:t>07). Doel van de voorziening is</w:t>
      </w:r>
      <w:r w:rsidRPr="00A20DC6">
        <w:rPr>
          <w:rFonts w:ascii="Times New Roman" w:hAnsi="Times New Roman" w:cs="Times New Roman"/>
          <w:sz w:val="24"/>
          <w:szCs w:val="24"/>
        </w:rPr>
        <w:t xml:space="preserve"> te voorkomen dat een verdachte van terroristische misdrijven in vrijheid moet worden gesteld, terwijl het onderzoek naar hem nog volop gaande is. Op deze wijze werd rekening gehouden met het feit dat het onderzoek naar terroristische misdrijven complex kan zijn (Kamerstukken II 2004/05, 30</w:t>
      </w:r>
      <w:r w:rsidR="002960CC" w:rsidRPr="00A20DC6">
        <w:rPr>
          <w:rFonts w:ascii="Times New Roman" w:hAnsi="Times New Roman" w:cs="Times New Roman"/>
          <w:sz w:val="24"/>
          <w:szCs w:val="24"/>
        </w:rPr>
        <w:t xml:space="preserve"> </w:t>
      </w:r>
      <w:r w:rsidRPr="00A20DC6">
        <w:rPr>
          <w:rFonts w:ascii="Times New Roman" w:hAnsi="Times New Roman" w:cs="Times New Roman"/>
          <w:sz w:val="24"/>
          <w:szCs w:val="24"/>
        </w:rPr>
        <w:t xml:space="preserve">164, nr. 3, blz. 26-27).  </w:t>
      </w:r>
    </w:p>
    <w:p w:rsidR="005817FC" w:rsidRPr="00A20DC6" w:rsidRDefault="005817FC" w:rsidP="005817FC">
      <w:pPr>
        <w:pStyle w:val="NoSpacing"/>
        <w:rPr>
          <w:rFonts w:ascii="Times New Roman" w:hAnsi="Times New Roman" w:cs="Times New Roman"/>
          <w:sz w:val="24"/>
          <w:szCs w:val="24"/>
        </w:rPr>
      </w:pPr>
    </w:p>
    <w:p w:rsidR="005817FC" w:rsidRPr="000E35F5" w:rsidRDefault="005817FC" w:rsidP="00FC1286">
      <w:pPr>
        <w:pStyle w:val="NoSpacing"/>
        <w:rPr>
          <w:rFonts w:ascii="Times New Roman" w:hAnsi="Times New Roman" w:cs="Times New Roman"/>
          <w:sz w:val="24"/>
          <w:szCs w:val="24"/>
        </w:rPr>
      </w:pPr>
      <w:r w:rsidRPr="00A20DC6">
        <w:rPr>
          <w:rFonts w:ascii="Times New Roman" w:hAnsi="Times New Roman" w:cs="Times New Roman"/>
          <w:sz w:val="24"/>
          <w:szCs w:val="24"/>
        </w:rPr>
        <w:t xml:space="preserve">Na de periode van bewaring kan de rechtbank, op vordering van de officier van justitie, de voorlopige hechtenis verlengen voor een periode van ten hoogste negentig dagen door het </w:t>
      </w:r>
      <w:r w:rsidRPr="000E35F5">
        <w:rPr>
          <w:rFonts w:ascii="Times New Roman" w:hAnsi="Times New Roman" w:cs="Times New Roman"/>
          <w:sz w:val="24"/>
          <w:szCs w:val="24"/>
        </w:rPr>
        <w:t xml:space="preserve">geven van een bevel gevangenhouding. Daarbij geldt dat ook in geval van terroristische misdrijven ernstige bezwaren nodig zijn om de gevangenhouding van de verdachte te kunnen bevelen. </w:t>
      </w:r>
    </w:p>
    <w:p w:rsidR="005817FC" w:rsidRPr="000E35F5" w:rsidRDefault="005817FC" w:rsidP="005817FC">
      <w:pPr>
        <w:pStyle w:val="NoSpacing"/>
        <w:rPr>
          <w:rFonts w:ascii="Times New Roman" w:hAnsi="Times New Roman" w:cs="Times New Roman"/>
          <w:sz w:val="24"/>
          <w:szCs w:val="24"/>
        </w:rPr>
      </w:pPr>
    </w:p>
    <w:p w:rsidR="00F82BAC" w:rsidRPr="000E35F5" w:rsidRDefault="009E1DC2" w:rsidP="002336D8">
      <w:pPr>
        <w:pStyle w:val="NoSpacing"/>
        <w:rPr>
          <w:rFonts w:ascii="Times New Roman" w:hAnsi="Times New Roman" w:cs="Times New Roman"/>
          <w:i/>
          <w:iCs/>
          <w:sz w:val="24"/>
          <w:szCs w:val="24"/>
        </w:rPr>
      </w:pPr>
      <w:r w:rsidRPr="000E35F5">
        <w:rPr>
          <w:rFonts w:ascii="Times New Roman" w:hAnsi="Times New Roman" w:cs="Times New Roman"/>
          <w:i/>
          <w:iCs/>
          <w:sz w:val="24"/>
          <w:szCs w:val="24"/>
        </w:rPr>
        <w:t>4</w:t>
      </w:r>
      <w:r w:rsidR="00F82BAC" w:rsidRPr="000E35F5">
        <w:rPr>
          <w:rFonts w:ascii="Times New Roman" w:hAnsi="Times New Roman" w:cs="Times New Roman"/>
          <w:i/>
          <w:iCs/>
          <w:sz w:val="24"/>
          <w:szCs w:val="24"/>
        </w:rPr>
        <w:t>.1.2</w:t>
      </w:r>
      <w:r w:rsidR="00F82BAC" w:rsidRPr="000E35F5">
        <w:rPr>
          <w:rFonts w:ascii="Times New Roman" w:hAnsi="Times New Roman" w:cs="Times New Roman"/>
          <w:i/>
          <w:iCs/>
          <w:sz w:val="24"/>
          <w:szCs w:val="24"/>
        </w:rPr>
        <w:tab/>
        <w:t>Reden voor wijziging</w:t>
      </w:r>
    </w:p>
    <w:p w:rsidR="00784EFF" w:rsidRPr="000E35F5" w:rsidRDefault="005817FC" w:rsidP="00D86D53">
      <w:pPr>
        <w:pStyle w:val="NoSpacing"/>
        <w:rPr>
          <w:rFonts w:ascii="Times New Roman" w:hAnsi="Times New Roman" w:cs="Times New Roman"/>
          <w:sz w:val="24"/>
          <w:szCs w:val="24"/>
        </w:rPr>
      </w:pPr>
      <w:r w:rsidRPr="000E35F5">
        <w:rPr>
          <w:rFonts w:ascii="Times New Roman" w:hAnsi="Times New Roman" w:cs="Times New Roman"/>
          <w:sz w:val="24"/>
          <w:szCs w:val="24"/>
        </w:rPr>
        <w:t>Het openbaar m</w:t>
      </w:r>
      <w:r w:rsidR="001E6BCB" w:rsidRPr="000E35F5">
        <w:rPr>
          <w:rFonts w:ascii="Times New Roman" w:hAnsi="Times New Roman" w:cs="Times New Roman"/>
          <w:sz w:val="24"/>
          <w:szCs w:val="24"/>
        </w:rPr>
        <w:t xml:space="preserve">inisterie heeft </w:t>
      </w:r>
      <w:r w:rsidRPr="000E35F5">
        <w:rPr>
          <w:rFonts w:ascii="Times New Roman" w:hAnsi="Times New Roman" w:cs="Times New Roman"/>
          <w:sz w:val="24"/>
          <w:szCs w:val="24"/>
        </w:rPr>
        <w:t xml:space="preserve">aangegeven dat het </w:t>
      </w:r>
      <w:r w:rsidR="001E6BCB" w:rsidRPr="000E35F5">
        <w:rPr>
          <w:rFonts w:ascii="Times New Roman" w:hAnsi="Times New Roman" w:cs="Times New Roman"/>
          <w:sz w:val="24"/>
          <w:szCs w:val="24"/>
        </w:rPr>
        <w:t xml:space="preserve">zich </w:t>
      </w:r>
      <w:r w:rsidRPr="000E35F5">
        <w:rPr>
          <w:rFonts w:ascii="Times New Roman" w:hAnsi="Times New Roman" w:cs="Times New Roman"/>
          <w:sz w:val="24"/>
          <w:szCs w:val="24"/>
        </w:rPr>
        <w:t>in de huidige praktijk van opsporing en vervolging van terr</w:t>
      </w:r>
      <w:r w:rsidR="00D86D53" w:rsidRPr="000E35F5">
        <w:rPr>
          <w:rFonts w:ascii="Times New Roman" w:hAnsi="Times New Roman" w:cs="Times New Roman"/>
          <w:sz w:val="24"/>
          <w:szCs w:val="24"/>
        </w:rPr>
        <w:t xml:space="preserve">oristische misdrijven in een aantal gevallen </w:t>
      </w:r>
      <w:r w:rsidRPr="000E35F5">
        <w:rPr>
          <w:rFonts w:ascii="Times New Roman" w:hAnsi="Times New Roman" w:cs="Times New Roman"/>
          <w:sz w:val="24"/>
          <w:szCs w:val="24"/>
        </w:rPr>
        <w:t>genoodz</w:t>
      </w:r>
      <w:r w:rsidR="001E6BCB" w:rsidRPr="000E35F5">
        <w:rPr>
          <w:rFonts w:ascii="Times New Roman" w:hAnsi="Times New Roman" w:cs="Times New Roman"/>
          <w:sz w:val="24"/>
          <w:szCs w:val="24"/>
        </w:rPr>
        <w:t>aakt ziet om</w:t>
      </w:r>
      <w:r w:rsidRPr="000E35F5">
        <w:rPr>
          <w:rFonts w:ascii="Times New Roman" w:hAnsi="Times New Roman" w:cs="Times New Roman"/>
          <w:sz w:val="24"/>
          <w:szCs w:val="24"/>
        </w:rPr>
        <w:t xml:space="preserve"> gebruik te maken van de </w:t>
      </w:r>
      <w:r w:rsidR="00C953A3" w:rsidRPr="000E35F5">
        <w:rPr>
          <w:rFonts w:ascii="Times New Roman" w:hAnsi="Times New Roman" w:cs="Times New Roman"/>
          <w:sz w:val="24"/>
          <w:szCs w:val="24"/>
        </w:rPr>
        <w:t xml:space="preserve">bijzondere </w:t>
      </w:r>
      <w:r w:rsidRPr="000E35F5">
        <w:rPr>
          <w:rFonts w:ascii="Times New Roman" w:hAnsi="Times New Roman" w:cs="Times New Roman"/>
          <w:sz w:val="24"/>
          <w:szCs w:val="24"/>
        </w:rPr>
        <w:t xml:space="preserve">mogelijkheid om de bewaring te vorderen van een verdachte van terroristische misdrijven, zonder dat reeds ernstige bezwaren bestaan. Het gaat dan specifiek om zaken waarin enerzijds een verdenking van terroristische misdrijven bestaat tegen de verdachte die noopt tot (onmiddellijke) aanhouding en vrijheidsbeneming van de verdachte, en waarin anderzijds het onderzoek nog niet voldoende resultaten heeft opgeleverd om de verdenking te versterken tot ernstige bezwaren. </w:t>
      </w:r>
      <w:r w:rsidR="00D86D53" w:rsidRPr="000E35F5">
        <w:rPr>
          <w:rFonts w:ascii="Times New Roman" w:hAnsi="Times New Roman" w:cs="Times New Roman"/>
          <w:sz w:val="24"/>
          <w:szCs w:val="24"/>
        </w:rPr>
        <w:t xml:space="preserve">Ook </w:t>
      </w:r>
      <w:r w:rsidRPr="000E35F5">
        <w:rPr>
          <w:rFonts w:ascii="Times New Roman" w:hAnsi="Times New Roman" w:cs="Times New Roman"/>
          <w:sz w:val="24"/>
          <w:szCs w:val="24"/>
        </w:rPr>
        <w:t xml:space="preserve">de duur van de bewaring </w:t>
      </w:r>
      <w:r w:rsidR="00D86D53" w:rsidRPr="000E35F5">
        <w:rPr>
          <w:rFonts w:ascii="Times New Roman" w:hAnsi="Times New Roman" w:cs="Times New Roman"/>
          <w:sz w:val="24"/>
          <w:szCs w:val="24"/>
        </w:rPr>
        <w:t xml:space="preserve">is </w:t>
      </w:r>
      <w:r w:rsidR="00C953A3" w:rsidRPr="000E35F5">
        <w:rPr>
          <w:rFonts w:ascii="Times New Roman" w:hAnsi="Times New Roman" w:cs="Times New Roman"/>
          <w:sz w:val="24"/>
          <w:szCs w:val="24"/>
        </w:rPr>
        <w:t xml:space="preserve">echter </w:t>
      </w:r>
      <w:r w:rsidR="00D86D53" w:rsidRPr="000E35F5">
        <w:rPr>
          <w:rFonts w:ascii="Times New Roman" w:hAnsi="Times New Roman" w:cs="Times New Roman"/>
          <w:sz w:val="24"/>
          <w:szCs w:val="24"/>
        </w:rPr>
        <w:t xml:space="preserve">niet altijd voldoende </w:t>
      </w:r>
      <w:r w:rsidRPr="000E35F5">
        <w:rPr>
          <w:rFonts w:ascii="Times New Roman" w:hAnsi="Times New Roman" w:cs="Times New Roman"/>
          <w:sz w:val="24"/>
          <w:szCs w:val="24"/>
        </w:rPr>
        <w:t>om de voor voortzetting van de voorlopige hechtenis in de vorm van gevangenhouding noodzakelijke sterkere verdenking (‘ernstig</w:t>
      </w:r>
      <w:r w:rsidR="00883731" w:rsidRPr="000E35F5">
        <w:rPr>
          <w:rFonts w:ascii="Times New Roman" w:hAnsi="Times New Roman" w:cs="Times New Roman"/>
          <w:sz w:val="24"/>
          <w:szCs w:val="24"/>
        </w:rPr>
        <w:t>e bezwaren’) tegen de verdachte</w:t>
      </w:r>
      <w:r w:rsidRPr="000E35F5">
        <w:rPr>
          <w:rFonts w:ascii="Times New Roman" w:hAnsi="Times New Roman" w:cs="Times New Roman"/>
          <w:sz w:val="24"/>
          <w:szCs w:val="24"/>
        </w:rPr>
        <w:t xml:space="preserve"> te onderbouwen. </w:t>
      </w:r>
      <w:r w:rsidR="00784EFF" w:rsidRPr="000E35F5">
        <w:rPr>
          <w:rFonts w:ascii="Times New Roman" w:hAnsi="Times New Roman" w:cs="Times New Roman"/>
          <w:sz w:val="24"/>
          <w:szCs w:val="24"/>
        </w:rPr>
        <w:t>Het is bijvoorbeeld zeer wel denkbaar – het onderzoek naar de organisatie van de aanslagen in Parijs en Brussel toont dat aan – dat soms pas na weken van intensief onderzoek duidelijkheid ontstaat over de rol van bepaalde verdachten, bijvoorbeeld nadat opsporingsdiensten erin slagen door te dringen tot versleutelde communicatie.</w:t>
      </w:r>
    </w:p>
    <w:p w:rsidR="001C5B0D" w:rsidRPr="000E35F5" w:rsidRDefault="00784EFF" w:rsidP="00784EFF">
      <w:pPr>
        <w:pStyle w:val="NoSpacing"/>
        <w:rPr>
          <w:rFonts w:ascii="Times New Roman" w:hAnsi="Times New Roman" w:cs="Times New Roman"/>
          <w:sz w:val="24"/>
          <w:szCs w:val="24"/>
        </w:rPr>
      </w:pPr>
      <w:r w:rsidRPr="000E35F5">
        <w:rPr>
          <w:rFonts w:ascii="Times New Roman" w:hAnsi="Times New Roman" w:cs="Times New Roman"/>
          <w:sz w:val="24"/>
          <w:szCs w:val="24"/>
        </w:rPr>
        <w:t>Dergelijk onderzoek kost tijd. Indien er evenwel uitzicht bestaat op positief resultaat van dat onderzoek binnen een redelijke termijn, moet naar het oordeel van het kabinet worden voorkomen dat in zo’n situatie de voorlopige hechtenis bij een verdenking van een terroristisch misdrijf moet worden opgeheven omdat er (nog) geen sprake is van ernstige bezwaren. Dan zou immers het risico worden gelopen dat bijvoorbeeld een persoon van wie later duidelijk wordt dat hij door een terroristische organisatie naar Europa is gestuurd om aanslagen te plegen, moet worden vrijgelaten, voordat onderzoek naar versleuteld berichtenverkeer en aangetroffen gegevensdragers de verdenking tegen hem versterkt. Specifiek in dit element ligt het grote verschil besloten met situaties die zich voordoen in een opsporingsonderzoek naar andere vormen van zware criminaliteit dan terrorisme. Want hoewel in onderzoek naar onder andere internationale drugshandel opsporingsdiensten eveneens met regelmaat stuiten op versleutelde communicatie, speelt niet de dreiging dat een verdachte die wegens het ontbreken van ernstige bezwaren in vrijheid moet worden gesteld, vervolgens een terroristische aanslag pleegt.</w:t>
      </w:r>
    </w:p>
    <w:p w:rsidR="00D91884" w:rsidRPr="000E35F5" w:rsidRDefault="00D91884" w:rsidP="002336D8">
      <w:pPr>
        <w:pStyle w:val="NoSpacing"/>
        <w:rPr>
          <w:rFonts w:ascii="Times New Roman" w:hAnsi="Times New Roman" w:cs="Times New Roman"/>
          <w:sz w:val="24"/>
          <w:szCs w:val="24"/>
        </w:rPr>
      </w:pPr>
    </w:p>
    <w:p w:rsidR="003F690F" w:rsidRPr="000E35F5" w:rsidRDefault="003F690F" w:rsidP="003F690F">
      <w:pPr>
        <w:pStyle w:val="NoSpacing"/>
        <w:rPr>
          <w:rFonts w:ascii="Times New Roman" w:hAnsi="Times New Roman" w:cs="Times New Roman"/>
          <w:sz w:val="24"/>
          <w:szCs w:val="24"/>
        </w:rPr>
      </w:pPr>
      <w:r w:rsidRPr="000E35F5">
        <w:rPr>
          <w:rFonts w:ascii="Times New Roman" w:hAnsi="Times New Roman" w:cs="Times New Roman"/>
          <w:sz w:val="24"/>
          <w:szCs w:val="24"/>
        </w:rPr>
        <w:t xml:space="preserve">Voorgesteld wordt daarom om het door wijziging van artikel 67, vierde lid, Sv, mogelijk te maken dat bij verdenking van een terroristisch misdrijf de rechtbank de voorlopige hechtenis na de periode van bewaring, kan verlengen tot in de fase van gevangenhouding, voor een periode van maximaal 30 dagen, waarvoor dan geen ernstige bezwaren zijn vereist. </w:t>
      </w:r>
    </w:p>
    <w:p w:rsidR="003F690F" w:rsidRPr="000E35F5" w:rsidRDefault="003F690F" w:rsidP="002336D8">
      <w:pPr>
        <w:pStyle w:val="NoSpacing"/>
        <w:rPr>
          <w:rFonts w:ascii="Times New Roman" w:hAnsi="Times New Roman" w:cs="Times New Roman"/>
          <w:sz w:val="24"/>
          <w:szCs w:val="24"/>
        </w:rPr>
      </w:pPr>
    </w:p>
    <w:p w:rsidR="00D36855" w:rsidRPr="00A20DC6" w:rsidRDefault="00D85C26" w:rsidP="00D36855">
      <w:pPr>
        <w:pStyle w:val="NoSpacing"/>
        <w:rPr>
          <w:rFonts w:ascii="Times New Roman" w:hAnsi="Times New Roman" w:cs="Times New Roman"/>
          <w:sz w:val="24"/>
          <w:szCs w:val="24"/>
        </w:rPr>
      </w:pPr>
      <w:r w:rsidRPr="000E35F5">
        <w:rPr>
          <w:rFonts w:ascii="Times New Roman" w:hAnsi="Times New Roman" w:cs="Times New Roman"/>
          <w:sz w:val="24"/>
          <w:szCs w:val="24"/>
        </w:rPr>
        <w:t>Voorop staat, zoals de</w:t>
      </w:r>
      <w:r w:rsidRPr="00A20DC6">
        <w:rPr>
          <w:rFonts w:ascii="Times New Roman" w:hAnsi="Times New Roman" w:cs="Times New Roman"/>
          <w:sz w:val="24"/>
          <w:szCs w:val="24"/>
        </w:rPr>
        <w:t xml:space="preserve"> NVvR </w:t>
      </w:r>
      <w:r w:rsidR="003E7AB1" w:rsidRPr="00A20DC6">
        <w:rPr>
          <w:rFonts w:ascii="Times New Roman" w:hAnsi="Times New Roman" w:cs="Times New Roman"/>
          <w:sz w:val="24"/>
          <w:szCs w:val="24"/>
        </w:rPr>
        <w:t xml:space="preserve">en de NOvA </w:t>
      </w:r>
      <w:r w:rsidRPr="00A20DC6">
        <w:rPr>
          <w:rFonts w:ascii="Times New Roman" w:hAnsi="Times New Roman" w:cs="Times New Roman"/>
          <w:sz w:val="24"/>
          <w:szCs w:val="24"/>
        </w:rPr>
        <w:t>benadrukte</w:t>
      </w:r>
      <w:r w:rsidR="003E7AB1" w:rsidRPr="00A20DC6">
        <w:rPr>
          <w:rFonts w:ascii="Times New Roman" w:hAnsi="Times New Roman" w:cs="Times New Roman"/>
          <w:sz w:val="24"/>
          <w:szCs w:val="24"/>
        </w:rPr>
        <w:t>n</w:t>
      </w:r>
      <w:r w:rsidRPr="00A20DC6">
        <w:rPr>
          <w:rFonts w:ascii="Times New Roman" w:hAnsi="Times New Roman" w:cs="Times New Roman"/>
          <w:sz w:val="24"/>
          <w:szCs w:val="24"/>
        </w:rPr>
        <w:t xml:space="preserve">, dat altijd </w:t>
      </w:r>
      <w:r w:rsidR="00A11151" w:rsidRPr="00A20DC6">
        <w:rPr>
          <w:rFonts w:ascii="Times New Roman" w:hAnsi="Times New Roman" w:cs="Times New Roman"/>
          <w:sz w:val="24"/>
          <w:szCs w:val="24"/>
        </w:rPr>
        <w:t xml:space="preserve">alles in het werk </w:t>
      </w:r>
      <w:r w:rsidRPr="00A20DC6">
        <w:rPr>
          <w:rFonts w:ascii="Times New Roman" w:hAnsi="Times New Roman" w:cs="Times New Roman"/>
          <w:sz w:val="24"/>
          <w:szCs w:val="24"/>
        </w:rPr>
        <w:t>moet word</w:t>
      </w:r>
      <w:r w:rsidR="00061DA0" w:rsidRPr="00A20DC6">
        <w:rPr>
          <w:rFonts w:ascii="Times New Roman" w:hAnsi="Times New Roman" w:cs="Times New Roman"/>
          <w:sz w:val="24"/>
          <w:szCs w:val="24"/>
        </w:rPr>
        <w:t>en gesteld om het onderzoek na</w:t>
      </w:r>
      <w:r w:rsidR="00C17A1A" w:rsidRPr="00A20DC6">
        <w:rPr>
          <w:rFonts w:ascii="Times New Roman" w:hAnsi="Times New Roman" w:cs="Times New Roman"/>
          <w:sz w:val="24"/>
          <w:szCs w:val="24"/>
        </w:rPr>
        <w:t xml:space="preserve">ar terroristische misdrijven zo snel en voorspoedig mogelijk te laten verlopen. Daartoe worden </w:t>
      </w:r>
      <w:r w:rsidR="00D36855" w:rsidRPr="00A20DC6">
        <w:rPr>
          <w:rFonts w:ascii="Times New Roman" w:hAnsi="Times New Roman" w:cs="Times New Roman"/>
          <w:sz w:val="24"/>
          <w:szCs w:val="24"/>
        </w:rPr>
        <w:t>uiteraard alle</w:t>
      </w:r>
      <w:r w:rsidR="00C17A1A" w:rsidRPr="00A20DC6">
        <w:rPr>
          <w:rFonts w:ascii="Times New Roman" w:hAnsi="Times New Roman" w:cs="Times New Roman"/>
          <w:sz w:val="24"/>
          <w:szCs w:val="24"/>
        </w:rPr>
        <w:t xml:space="preserve"> nodige mankracht en middelen ingezet. Het grote belang van het voorkomen van het met adequate opsporing voorkomen van aanslagen vraagt hierom. Het geldt daarnaast ook voor verdachten, aan wie gelet op de zwaarte van een verdenking van terrorisme</w:t>
      </w:r>
      <w:r w:rsidR="00D36855" w:rsidRPr="00A20DC6">
        <w:rPr>
          <w:rFonts w:ascii="Times New Roman" w:hAnsi="Times New Roman" w:cs="Times New Roman"/>
          <w:sz w:val="24"/>
          <w:szCs w:val="24"/>
        </w:rPr>
        <w:t xml:space="preserve"> en de ingrijpendheid van het dwangmiddel van voorlopige hechtenis dat in voorkomende gevallen jegens hen zal worden toegepast,</w:t>
      </w:r>
      <w:r w:rsidR="00C17A1A" w:rsidRPr="00A20DC6">
        <w:rPr>
          <w:rFonts w:ascii="Times New Roman" w:hAnsi="Times New Roman" w:cs="Times New Roman"/>
          <w:sz w:val="24"/>
          <w:szCs w:val="24"/>
        </w:rPr>
        <w:t xml:space="preserve"> zo spoedig mogelijk uitsluitsel moet worden </w:t>
      </w:r>
      <w:r w:rsidR="00061DA0" w:rsidRPr="00A20DC6">
        <w:rPr>
          <w:rFonts w:ascii="Times New Roman" w:hAnsi="Times New Roman" w:cs="Times New Roman"/>
          <w:sz w:val="24"/>
          <w:szCs w:val="24"/>
        </w:rPr>
        <w:t>verschaft over de waarachtigheid van de verdenking tegen hen</w:t>
      </w:r>
      <w:r w:rsidR="00D36855" w:rsidRPr="00A20DC6">
        <w:rPr>
          <w:rFonts w:ascii="Times New Roman" w:hAnsi="Times New Roman" w:cs="Times New Roman"/>
          <w:sz w:val="24"/>
          <w:szCs w:val="24"/>
        </w:rPr>
        <w:t xml:space="preserve">. Tegen deze achtergrond mag het niet zo zijn, maar is het vooral ook onwaarschijnlijk, dat de mogelijkheid om een verdachte langer zonder ernstige bezwaren in voorlopige hechtenis te houden, ertoe leidt dat onderzoek naar terrorisme in het vervolg met minder urgentie of zonder de benodigde middelen wordt verricht.  </w:t>
      </w:r>
    </w:p>
    <w:p w:rsidR="00D36855" w:rsidRPr="00A20DC6" w:rsidRDefault="00D36855" w:rsidP="008A18CC">
      <w:pPr>
        <w:pStyle w:val="NoSpacing"/>
        <w:rPr>
          <w:rFonts w:ascii="Times New Roman" w:hAnsi="Times New Roman" w:cs="Times New Roman"/>
          <w:sz w:val="24"/>
          <w:szCs w:val="24"/>
        </w:rPr>
      </w:pPr>
    </w:p>
    <w:p w:rsidR="00036FD2" w:rsidRPr="00A20DC6" w:rsidRDefault="00436C6E" w:rsidP="008A18CC">
      <w:pPr>
        <w:pStyle w:val="NoSpacing"/>
        <w:rPr>
          <w:rFonts w:ascii="Times New Roman" w:hAnsi="Times New Roman" w:cs="Times New Roman"/>
          <w:sz w:val="24"/>
          <w:szCs w:val="24"/>
        </w:rPr>
      </w:pPr>
      <w:r w:rsidRPr="00A20DC6">
        <w:rPr>
          <w:rFonts w:ascii="Times New Roman" w:hAnsi="Times New Roman" w:cs="Times New Roman"/>
          <w:sz w:val="24"/>
          <w:szCs w:val="24"/>
        </w:rPr>
        <w:t>De Rvdr voorspelde in zijn advies dat rechters</w:t>
      </w:r>
      <w:r w:rsidR="00D36855" w:rsidRPr="00A20DC6">
        <w:rPr>
          <w:rFonts w:ascii="Times New Roman" w:hAnsi="Times New Roman" w:cs="Times New Roman"/>
          <w:sz w:val="24"/>
          <w:szCs w:val="24"/>
        </w:rPr>
        <w:t xml:space="preserve">, gelet op het </w:t>
      </w:r>
      <w:r w:rsidR="008A18CC" w:rsidRPr="00A20DC6">
        <w:rPr>
          <w:rFonts w:ascii="Times New Roman" w:hAnsi="Times New Roman" w:cs="Times New Roman"/>
          <w:sz w:val="24"/>
          <w:szCs w:val="24"/>
        </w:rPr>
        <w:t>ingrijpende karakter van dit middel</w:t>
      </w:r>
      <w:r w:rsidR="00D36855" w:rsidRPr="00A20DC6">
        <w:rPr>
          <w:rFonts w:ascii="Times New Roman" w:hAnsi="Times New Roman" w:cs="Times New Roman"/>
          <w:sz w:val="24"/>
          <w:szCs w:val="24"/>
        </w:rPr>
        <w:t xml:space="preserve"> voor de persoon van de verdachte</w:t>
      </w:r>
      <w:r w:rsidR="008A18CC" w:rsidRPr="00A20DC6">
        <w:rPr>
          <w:rFonts w:ascii="Times New Roman" w:hAnsi="Times New Roman" w:cs="Times New Roman"/>
          <w:sz w:val="24"/>
          <w:szCs w:val="24"/>
        </w:rPr>
        <w:t>,</w:t>
      </w:r>
      <w:r w:rsidRPr="00A20DC6">
        <w:rPr>
          <w:rFonts w:ascii="Times New Roman" w:hAnsi="Times New Roman" w:cs="Times New Roman"/>
          <w:sz w:val="24"/>
          <w:szCs w:val="24"/>
        </w:rPr>
        <w:t xml:space="preserve"> </w:t>
      </w:r>
      <w:r w:rsidR="008A18CC" w:rsidRPr="00A20DC6">
        <w:rPr>
          <w:rFonts w:ascii="Times New Roman" w:hAnsi="Times New Roman" w:cs="Times New Roman"/>
          <w:sz w:val="24"/>
          <w:szCs w:val="24"/>
        </w:rPr>
        <w:t xml:space="preserve">terughoudend met de nieuwe </w:t>
      </w:r>
      <w:r w:rsidRPr="00A20DC6">
        <w:rPr>
          <w:rFonts w:ascii="Times New Roman" w:hAnsi="Times New Roman" w:cs="Times New Roman"/>
          <w:sz w:val="24"/>
          <w:szCs w:val="24"/>
        </w:rPr>
        <w:t>mogelijkheid zullen omgaan.</w:t>
      </w:r>
      <w:r w:rsidR="008A18CC" w:rsidRPr="00A20DC6">
        <w:rPr>
          <w:rFonts w:ascii="Times New Roman" w:hAnsi="Times New Roman" w:cs="Times New Roman"/>
          <w:sz w:val="24"/>
          <w:szCs w:val="24"/>
        </w:rPr>
        <w:t xml:space="preserve"> </w:t>
      </w:r>
      <w:r w:rsidR="00826B0E" w:rsidRPr="00A20DC6">
        <w:rPr>
          <w:rFonts w:ascii="Times New Roman" w:hAnsi="Times New Roman" w:cs="Times New Roman"/>
          <w:sz w:val="24"/>
          <w:szCs w:val="24"/>
        </w:rPr>
        <w:t>De maatregel vraagt inderdaad om een</w:t>
      </w:r>
      <w:r w:rsidR="00D36855" w:rsidRPr="00A20DC6">
        <w:rPr>
          <w:rFonts w:ascii="Times New Roman" w:hAnsi="Times New Roman" w:cs="Times New Roman"/>
          <w:sz w:val="24"/>
          <w:szCs w:val="24"/>
        </w:rPr>
        <w:t xml:space="preserve"> zorgvuldige en afgewogen toepassing. </w:t>
      </w:r>
      <w:r w:rsidR="00EE4956" w:rsidRPr="00A20DC6">
        <w:rPr>
          <w:rFonts w:ascii="Times New Roman" w:hAnsi="Times New Roman" w:cs="Times New Roman"/>
          <w:sz w:val="24"/>
          <w:szCs w:val="24"/>
        </w:rPr>
        <w:t xml:space="preserve">De NVvR merkte </w:t>
      </w:r>
      <w:r w:rsidR="008A18CC" w:rsidRPr="00A20DC6">
        <w:rPr>
          <w:rFonts w:ascii="Times New Roman" w:hAnsi="Times New Roman" w:cs="Times New Roman"/>
          <w:sz w:val="24"/>
          <w:szCs w:val="24"/>
        </w:rPr>
        <w:t xml:space="preserve">daarbij nog op, dat het in </w:t>
      </w:r>
      <w:r w:rsidR="00D36855" w:rsidRPr="00A20DC6">
        <w:rPr>
          <w:rFonts w:ascii="Times New Roman" w:hAnsi="Times New Roman" w:cs="Times New Roman"/>
          <w:sz w:val="24"/>
          <w:szCs w:val="24"/>
        </w:rPr>
        <w:t xml:space="preserve">verband met </w:t>
      </w:r>
      <w:r w:rsidR="008A18CC" w:rsidRPr="00A20DC6">
        <w:rPr>
          <w:rFonts w:ascii="Times New Roman" w:hAnsi="Times New Roman" w:cs="Times New Roman"/>
          <w:sz w:val="24"/>
          <w:szCs w:val="24"/>
        </w:rPr>
        <w:t>het streven naar een</w:t>
      </w:r>
      <w:r w:rsidR="00EE4956" w:rsidRPr="00A20DC6">
        <w:rPr>
          <w:rFonts w:ascii="Times New Roman" w:hAnsi="Times New Roman" w:cs="Times New Roman"/>
          <w:sz w:val="24"/>
          <w:szCs w:val="24"/>
        </w:rPr>
        <w:t xml:space="preserve"> proportionele toepassing, </w:t>
      </w:r>
      <w:r w:rsidR="008A18CC" w:rsidRPr="00A20DC6">
        <w:rPr>
          <w:rFonts w:ascii="Times New Roman" w:hAnsi="Times New Roman" w:cs="Times New Roman"/>
          <w:sz w:val="24"/>
          <w:szCs w:val="24"/>
        </w:rPr>
        <w:t xml:space="preserve">aanbeveling verdiende om de rechter </w:t>
      </w:r>
      <w:r w:rsidR="00143880" w:rsidRPr="00A20DC6">
        <w:rPr>
          <w:rFonts w:ascii="Times New Roman" w:hAnsi="Times New Roman" w:cs="Times New Roman"/>
          <w:sz w:val="24"/>
          <w:szCs w:val="24"/>
        </w:rPr>
        <w:t>nadrukkelijk</w:t>
      </w:r>
      <w:r w:rsidR="008A18CC" w:rsidRPr="00A20DC6">
        <w:rPr>
          <w:rFonts w:ascii="Times New Roman" w:hAnsi="Times New Roman" w:cs="Times New Roman"/>
          <w:sz w:val="24"/>
          <w:szCs w:val="24"/>
        </w:rPr>
        <w:t>er</w:t>
      </w:r>
      <w:r w:rsidR="00143880" w:rsidRPr="00A20DC6">
        <w:rPr>
          <w:rFonts w:ascii="Times New Roman" w:hAnsi="Times New Roman" w:cs="Times New Roman"/>
          <w:sz w:val="24"/>
          <w:szCs w:val="24"/>
        </w:rPr>
        <w:t xml:space="preserve"> de mogelijkheid </w:t>
      </w:r>
      <w:r w:rsidR="008A18CC" w:rsidRPr="00A20DC6">
        <w:rPr>
          <w:rFonts w:ascii="Times New Roman" w:hAnsi="Times New Roman" w:cs="Times New Roman"/>
          <w:sz w:val="24"/>
          <w:szCs w:val="24"/>
        </w:rPr>
        <w:t xml:space="preserve">te bieden om de voorlopige hechtenis zonder ernstige bezwaren te verlengen voor kortere </w:t>
      </w:r>
      <w:r w:rsidR="0042366D">
        <w:rPr>
          <w:rFonts w:ascii="Times New Roman" w:hAnsi="Times New Roman" w:cs="Times New Roman"/>
          <w:sz w:val="24"/>
          <w:szCs w:val="24"/>
        </w:rPr>
        <w:t>perioden, in plaats van in een keer de gevangenhouding te bevelen voor de maximale termijn van dertig dagen</w:t>
      </w:r>
      <w:r w:rsidR="00143880" w:rsidRPr="00A20DC6">
        <w:rPr>
          <w:rFonts w:ascii="Times New Roman" w:hAnsi="Times New Roman" w:cs="Times New Roman"/>
          <w:sz w:val="24"/>
          <w:szCs w:val="24"/>
        </w:rPr>
        <w:t>. Dit a</w:t>
      </w:r>
      <w:r w:rsidR="00036FD2" w:rsidRPr="00A20DC6">
        <w:rPr>
          <w:rFonts w:ascii="Times New Roman" w:hAnsi="Times New Roman" w:cs="Times New Roman"/>
          <w:sz w:val="24"/>
          <w:szCs w:val="24"/>
        </w:rPr>
        <w:t xml:space="preserve">dvies </w:t>
      </w:r>
      <w:r w:rsidR="0042366D">
        <w:rPr>
          <w:rFonts w:ascii="Times New Roman" w:hAnsi="Times New Roman" w:cs="Times New Roman"/>
          <w:sz w:val="24"/>
          <w:szCs w:val="24"/>
        </w:rPr>
        <w:t xml:space="preserve">van de NVvR </w:t>
      </w:r>
      <w:r w:rsidR="00143880" w:rsidRPr="00A20DC6">
        <w:rPr>
          <w:rFonts w:ascii="Times New Roman" w:hAnsi="Times New Roman" w:cs="Times New Roman"/>
          <w:sz w:val="24"/>
          <w:szCs w:val="24"/>
        </w:rPr>
        <w:t>is gevolgd</w:t>
      </w:r>
      <w:r w:rsidRPr="00A20DC6">
        <w:rPr>
          <w:rFonts w:ascii="Times New Roman" w:hAnsi="Times New Roman" w:cs="Times New Roman"/>
          <w:sz w:val="24"/>
          <w:szCs w:val="24"/>
        </w:rPr>
        <w:t xml:space="preserve"> door in artikel 67, vierde lid, Sv te bepalen dat </w:t>
      </w:r>
      <w:r w:rsidR="008A18CC" w:rsidRPr="00A20DC6">
        <w:rPr>
          <w:rFonts w:ascii="Times New Roman" w:hAnsi="Times New Roman" w:cs="Times New Roman"/>
          <w:sz w:val="24"/>
          <w:szCs w:val="24"/>
        </w:rPr>
        <w:t xml:space="preserve">de rechtbank </w:t>
      </w:r>
      <w:r w:rsidR="00D6053D" w:rsidRPr="00A20DC6">
        <w:rPr>
          <w:rFonts w:ascii="Times New Roman" w:hAnsi="Times New Roman" w:cs="Times New Roman"/>
          <w:sz w:val="24"/>
          <w:szCs w:val="24"/>
        </w:rPr>
        <w:t xml:space="preserve">bij een verdenking van terroristische misdrijven </w:t>
      </w:r>
      <w:r w:rsidR="008A18CC" w:rsidRPr="00A20DC6">
        <w:rPr>
          <w:rFonts w:ascii="Times New Roman" w:hAnsi="Times New Roman" w:cs="Times New Roman"/>
          <w:sz w:val="24"/>
          <w:szCs w:val="24"/>
        </w:rPr>
        <w:t>telkens voor een periode van maximaal tien dagen gevangenhouding zonder ernstige bezwaren kan bevelen, tot een maximum van ten hoogste dertig dagen.</w:t>
      </w:r>
    </w:p>
    <w:p w:rsidR="00826B0E" w:rsidRPr="00A20DC6" w:rsidRDefault="00826B0E" w:rsidP="008A18CC">
      <w:pPr>
        <w:pStyle w:val="NoSpacing"/>
        <w:rPr>
          <w:rFonts w:ascii="Times New Roman" w:hAnsi="Times New Roman" w:cs="Times New Roman"/>
          <w:sz w:val="24"/>
          <w:szCs w:val="24"/>
        </w:rPr>
      </w:pPr>
    </w:p>
    <w:p w:rsidR="00F82BAC" w:rsidRPr="00A20DC6" w:rsidRDefault="009E1DC2" w:rsidP="007153A8">
      <w:pPr>
        <w:pStyle w:val="NoSpacing"/>
        <w:rPr>
          <w:rFonts w:ascii="Times New Roman" w:hAnsi="Times New Roman" w:cs="Times New Roman"/>
          <w:i/>
          <w:iCs/>
          <w:sz w:val="24"/>
          <w:szCs w:val="24"/>
        </w:rPr>
      </w:pPr>
      <w:r w:rsidRPr="00A20DC6">
        <w:rPr>
          <w:rFonts w:ascii="Times New Roman" w:hAnsi="Times New Roman" w:cs="Times New Roman"/>
          <w:i/>
          <w:iCs/>
          <w:sz w:val="24"/>
          <w:szCs w:val="24"/>
        </w:rPr>
        <w:t>4</w:t>
      </w:r>
      <w:r w:rsidR="00F82BAC" w:rsidRPr="00A20DC6">
        <w:rPr>
          <w:rFonts w:ascii="Times New Roman" w:hAnsi="Times New Roman" w:cs="Times New Roman"/>
          <w:i/>
          <w:iCs/>
          <w:sz w:val="24"/>
          <w:szCs w:val="24"/>
        </w:rPr>
        <w:t>.1.3</w:t>
      </w:r>
      <w:r w:rsidR="00F82BAC" w:rsidRPr="00A20DC6">
        <w:rPr>
          <w:rFonts w:ascii="Times New Roman" w:hAnsi="Times New Roman" w:cs="Times New Roman"/>
          <w:i/>
          <w:iCs/>
          <w:sz w:val="24"/>
          <w:szCs w:val="24"/>
        </w:rPr>
        <w:tab/>
        <w:t>Verenigbaarheid met artikel 5 EVRM</w:t>
      </w:r>
    </w:p>
    <w:p w:rsidR="00B82FFA" w:rsidRPr="00A20DC6" w:rsidRDefault="00FC1286" w:rsidP="00A229B3">
      <w:pPr>
        <w:pStyle w:val="NoSpacing"/>
        <w:rPr>
          <w:rFonts w:ascii="Times New Roman" w:hAnsi="Times New Roman" w:cs="Times New Roman"/>
          <w:sz w:val="24"/>
          <w:szCs w:val="24"/>
        </w:rPr>
      </w:pPr>
      <w:r w:rsidRPr="00A20DC6">
        <w:rPr>
          <w:rFonts w:ascii="Times New Roman" w:hAnsi="Times New Roman" w:cs="Times New Roman"/>
          <w:sz w:val="24"/>
          <w:szCs w:val="24"/>
        </w:rPr>
        <w:t>De rechts</w:t>
      </w:r>
      <w:r w:rsidR="002336D8" w:rsidRPr="00A20DC6">
        <w:rPr>
          <w:rFonts w:ascii="Times New Roman" w:hAnsi="Times New Roman" w:cs="Times New Roman"/>
          <w:sz w:val="24"/>
          <w:szCs w:val="24"/>
        </w:rPr>
        <w:t xml:space="preserve">praak van het EHRM </w:t>
      </w:r>
      <w:r w:rsidR="00A229B3" w:rsidRPr="00A20DC6">
        <w:rPr>
          <w:rFonts w:ascii="Times New Roman" w:hAnsi="Times New Roman" w:cs="Times New Roman"/>
          <w:sz w:val="24"/>
          <w:szCs w:val="24"/>
        </w:rPr>
        <w:t xml:space="preserve">inzake artikel 5, derde en vierde lid, EVRM </w:t>
      </w:r>
      <w:r w:rsidR="002336D8" w:rsidRPr="00A20DC6">
        <w:rPr>
          <w:rFonts w:ascii="Times New Roman" w:hAnsi="Times New Roman" w:cs="Times New Roman"/>
          <w:sz w:val="24"/>
          <w:szCs w:val="24"/>
        </w:rPr>
        <w:t>biedt ruimte</w:t>
      </w:r>
      <w:r w:rsidR="00A229B3" w:rsidRPr="00A20DC6">
        <w:rPr>
          <w:rFonts w:ascii="Times New Roman" w:hAnsi="Times New Roman" w:cs="Times New Roman"/>
          <w:sz w:val="24"/>
          <w:szCs w:val="24"/>
        </w:rPr>
        <w:t xml:space="preserve"> voor </w:t>
      </w:r>
      <w:r w:rsidR="00FB7186" w:rsidRPr="00A20DC6">
        <w:rPr>
          <w:rFonts w:ascii="Times New Roman" w:hAnsi="Times New Roman" w:cs="Times New Roman"/>
          <w:sz w:val="24"/>
          <w:szCs w:val="24"/>
        </w:rPr>
        <w:t>dit</w:t>
      </w:r>
      <w:r w:rsidR="002336D8" w:rsidRPr="00A20DC6">
        <w:rPr>
          <w:rFonts w:ascii="Times New Roman" w:hAnsi="Times New Roman" w:cs="Times New Roman"/>
          <w:sz w:val="24"/>
          <w:szCs w:val="24"/>
        </w:rPr>
        <w:t xml:space="preserve"> voorstel. </w:t>
      </w:r>
      <w:r w:rsidR="00B82FFA" w:rsidRPr="00A20DC6">
        <w:rPr>
          <w:rFonts w:ascii="Times New Roman" w:hAnsi="Times New Roman" w:cs="Times New Roman"/>
          <w:sz w:val="24"/>
          <w:szCs w:val="24"/>
        </w:rPr>
        <w:t>In het standaardarrest – EHRM 3 oktober 2006, McKay t. Verenigd Koninkrijk – heeft het Hof aangegeven dat in het algemeen geen vaste limiet kan worden gesteld aan de duur van de voorlopige hechtenis. Bij de toetsing van de rechtmatigheid van de voorlopige hechtenis staat beoordeling van de omstandigheden van het geval voorop. Daarbij zijn de volgende voorwaarden relevant. Allereerst dient er een redelijke verdenking van een strafbaar feit te bestaan. Die redelijke verdenking is een ‘conditio sine qua non’ voor de rechtmatigheid van de (voortdurende) voorlopige hechtenis. De verdenking moet op voor de rechter toetsbare feiten zijn gebaseerd (EHRM 16 oktober 2001, O’Hara t. Verenigd Koninkrijk). Na verloop van enige tijd – aan te nemen valt, na een aantal dagen – moet er naast die redelijke verdenking ook sprake zijn van gronden die de vrijheidsbeneming van de verdachte rechtvaardigen</w:t>
      </w:r>
      <w:r w:rsidR="002336D8" w:rsidRPr="00A20DC6">
        <w:rPr>
          <w:rFonts w:ascii="Times New Roman" w:hAnsi="Times New Roman" w:cs="Times New Roman"/>
          <w:sz w:val="24"/>
          <w:szCs w:val="24"/>
        </w:rPr>
        <w:t xml:space="preserve"> (EHRM 5 juli 2016, Buzadji t. Moldavië)</w:t>
      </w:r>
      <w:r w:rsidR="00B82FFA" w:rsidRPr="00A20DC6">
        <w:rPr>
          <w:rFonts w:ascii="Times New Roman" w:hAnsi="Times New Roman" w:cs="Times New Roman"/>
          <w:sz w:val="24"/>
          <w:szCs w:val="24"/>
        </w:rPr>
        <w:t xml:space="preserve">. Daarbij gaat het om de gronden vluchtgevaar, voorkomen van strafbare feiten, collusiegevaar en bescherming van de openbare orde. Naarmate de vrijheidsbeneming langer duurt, dient strenger te worden getoetst of de gegeven gronden voor voorlopige hechtenis afgezet tegen de lange duur van vrijheidsbeneming nog steeds ‘sufficient and relevant’ zijn. De toetsende rechter dient zich tevens ervan bewust te zijn dat de aangevoerde gronden voor voorlopige hechtenis na verloop van tijd minder sterk kunnen worden – bijvoorbeeld het vluchtgevaar. </w:t>
      </w:r>
    </w:p>
    <w:p w:rsidR="00B82FFA" w:rsidRPr="00A20DC6" w:rsidRDefault="00B82FFA" w:rsidP="002336D8">
      <w:pPr>
        <w:pStyle w:val="NoSpacing"/>
        <w:rPr>
          <w:rFonts w:ascii="Times New Roman" w:hAnsi="Times New Roman" w:cs="Times New Roman"/>
          <w:sz w:val="24"/>
          <w:szCs w:val="24"/>
        </w:rPr>
      </w:pPr>
      <w:r w:rsidRPr="00A20DC6">
        <w:rPr>
          <w:rFonts w:ascii="Times New Roman" w:hAnsi="Times New Roman" w:cs="Times New Roman"/>
          <w:sz w:val="24"/>
          <w:szCs w:val="24"/>
        </w:rPr>
        <w:t xml:space="preserve">Intussen moeten de autoriteiten voortvarendheid betrachten bij het verrichten van het onderliggende strafrechtelijk onderzoek (‘special diligence in the conduct of the proceedings’). Ook daarop zal de rechter die beslist over voortzetting van de voorlopige hechtenis het oog moeten houden. Er komt vervolgens een moment waarop de combinatie van een redelijke verdenking en de aanwezigheid van gronden voor voorlopige hechtenis, niet langer voldoende zijn voor toepassing van voorlopige hechtenis. Een sterkere verdenking is dan vereist om een langere voorlopige hechtenis te kunnen dragen. Dat geldt ook in zaken van zware misdrijven, als deelneming aan een mafia-organisatie en terrorisme (EHRM 6 april 2000, Labita t. Italië). Aan het moment waarop de sterke verdenking moet bestaan valt volgens het Hof wederom geen vast tijdstip te verbinden. In algemene zin geldt dat naarmate de voorlopige hechtenis langer duurt, er meer bewijs en een sterkere verdenking nodig zullen zijn tegen de verdachte (EHRM 28 oktober 1994, Murray t. Verenigd Koninkrijk) (vgl. Kamerstukken II 2005/06, 30 164, nr. 12, blz. 12). </w:t>
      </w:r>
    </w:p>
    <w:p w:rsidR="00B82FFA" w:rsidRPr="00A20DC6" w:rsidRDefault="00B82FFA" w:rsidP="00B82FFA">
      <w:pPr>
        <w:pStyle w:val="NoSpacing"/>
        <w:rPr>
          <w:rFonts w:ascii="Times New Roman" w:hAnsi="Times New Roman" w:cs="Times New Roman"/>
          <w:sz w:val="24"/>
          <w:szCs w:val="24"/>
        </w:rPr>
      </w:pPr>
    </w:p>
    <w:p w:rsidR="00B82FFA" w:rsidRPr="00A20DC6" w:rsidRDefault="00B82FFA" w:rsidP="00B82FFA">
      <w:pPr>
        <w:pStyle w:val="NoSpacing"/>
        <w:rPr>
          <w:rFonts w:ascii="Times New Roman" w:hAnsi="Times New Roman" w:cs="Times New Roman"/>
          <w:sz w:val="24"/>
          <w:szCs w:val="24"/>
        </w:rPr>
      </w:pPr>
      <w:r w:rsidRPr="00A20DC6">
        <w:rPr>
          <w:rFonts w:ascii="Times New Roman" w:hAnsi="Times New Roman" w:cs="Times New Roman"/>
          <w:sz w:val="24"/>
          <w:szCs w:val="24"/>
        </w:rPr>
        <w:t>In de wettelijke regeling van de voorlopige hechtenis moeten voldoende voorzieningen bestaan voor rechterlijke (her)beoordeling van de (voortdurende) voorlopige hechtenis waarbij kritisch dient te worden bekeken of de gronden aangevoerd voor toepassing van voorlopige hechtenis nog ‘relevant and sufficient’ zijn. De rechter die over de voortzetting van de voorlopige hechtenis oordeelt moet de bevoegdheid hebben om de voorlopige hechtenis op te heffen en onder voorwaarden te schorsen. Alle beslissingen die de rechter neemt over (voortzetting van) de voorlopige hechtenis moeten specifiek gemotiveerd worden.</w:t>
      </w:r>
    </w:p>
    <w:p w:rsidR="00B82FFA" w:rsidRPr="00A20DC6" w:rsidRDefault="00B82FFA" w:rsidP="00B82FFA">
      <w:pPr>
        <w:pStyle w:val="NoSpacing"/>
        <w:rPr>
          <w:rFonts w:ascii="Times New Roman" w:hAnsi="Times New Roman" w:cs="Times New Roman"/>
          <w:sz w:val="24"/>
          <w:szCs w:val="24"/>
        </w:rPr>
      </w:pPr>
      <w:r w:rsidRPr="00A20DC6">
        <w:rPr>
          <w:rFonts w:ascii="Times New Roman" w:hAnsi="Times New Roman" w:cs="Times New Roman"/>
          <w:sz w:val="24"/>
          <w:szCs w:val="24"/>
        </w:rPr>
        <w:t xml:space="preserve">De verdachte dient ook te beschikken over voldoende mogelijkheden om de rechtmatigheid van de (voortdurende) vrijheidsbeneming te laten onderzoeken door de rechter (habeas corpus: artikel 5, vierde lid, EVRM). Die mogelijkheden moeten hem ter beschikking staan met een ‘redelijke frequentie’. Daarbij geldt dat een regelmatige (her)beoordeling van de voorlopige hechtenis door de rechter niet afhankelijk mag zijn van de vraag of de verdachte een verzoek tot opheffing van voorlopige hechtenis doet (EHRM 12 mei 2015, Magee t. Verenigd Koninkrijk). </w:t>
      </w:r>
    </w:p>
    <w:p w:rsidR="005C3F46" w:rsidRPr="00A20DC6" w:rsidRDefault="005C3F46" w:rsidP="005C3F46">
      <w:pPr>
        <w:pStyle w:val="NoSpacing"/>
        <w:rPr>
          <w:rFonts w:ascii="Times New Roman" w:hAnsi="Times New Roman" w:cs="Times New Roman"/>
          <w:sz w:val="24"/>
          <w:szCs w:val="24"/>
        </w:rPr>
      </w:pPr>
    </w:p>
    <w:p w:rsidR="00036FD2" w:rsidRPr="00A20DC6" w:rsidRDefault="005C3F46" w:rsidP="005C3F46">
      <w:pPr>
        <w:pStyle w:val="NoSpacing"/>
        <w:rPr>
          <w:rFonts w:ascii="Times New Roman" w:hAnsi="Times New Roman" w:cs="Times New Roman"/>
          <w:sz w:val="24"/>
          <w:szCs w:val="24"/>
        </w:rPr>
      </w:pPr>
      <w:r w:rsidRPr="00A20DC6">
        <w:rPr>
          <w:rFonts w:ascii="Times New Roman" w:hAnsi="Times New Roman" w:cs="Times New Roman"/>
          <w:sz w:val="24"/>
          <w:szCs w:val="24"/>
        </w:rPr>
        <w:t>Co</w:t>
      </w:r>
      <w:r w:rsidR="00024711" w:rsidRPr="00A20DC6">
        <w:rPr>
          <w:rFonts w:ascii="Times New Roman" w:hAnsi="Times New Roman" w:cs="Times New Roman"/>
          <w:sz w:val="24"/>
          <w:szCs w:val="24"/>
        </w:rPr>
        <w:t xml:space="preserve">nclusie is </w:t>
      </w:r>
      <w:r w:rsidRPr="00A20DC6">
        <w:rPr>
          <w:rFonts w:ascii="Times New Roman" w:hAnsi="Times New Roman" w:cs="Times New Roman"/>
          <w:sz w:val="24"/>
          <w:szCs w:val="24"/>
        </w:rPr>
        <w:t xml:space="preserve">dat de rechtspraak van het EHRM inzake artikel 5, derde en vierde lid, EVRM </w:t>
      </w:r>
      <w:r w:rsidR="00402DF4" w:rsidRPr="00A20DC6">
        <w:rPr>
          <w:rFonts w:ascii="Times New Roman" w:hAnsi="Times New Roman" w:cs="Times New Roman"/>
          <w:sz w:val="24"/>
          <w:szCs w:val="24"/>
        </w:rPr>
        <w:t xml:space="preserve">de nodige </w:t>
      </w:r>
      <w:r w:rsidRPr="00A20DC6">
        <w:rPr>
          <w:rFonts w:ascii="Times New Roman" w:hAnsi="Times New Roman" w:cs="Times New Roman"/>
          <w:sz w:val="24"/>
          <w:szCs w:val="24"/>
        </w:rPr>
        <w:t xml:space="preserve">ruimte </w:t>
      </w:r>
      <w:r w:rsidR="00402DF4" w:rsidRPr="00A20DC6">
        <w:rPr>
          <w:rFonts w:ascii="Times New Roman" w:hAnsi="Times New Roman" w:cs="Times New Roman"/>
          <w:sz w:val="24"/>
          <w:szCs w:val="24"/>
        </w:rPr>
        <w:t xml:space="preserve">biedt </w:t>
      </w:r>
      <w:r w:rsidRPr="00A20DC6">
        <w:rPr>
          <w:rFonts w:ascii="Times New Roman" w:hAnsi="Times New Roman" w:cs="Times New Roman"/>
          <w:sz w:val="24"/>
          <w:szCs w:val="24"/>
        </w:rPr>
        <w:t xml:space="preserve">voor dit voorstel. </w:t>
      </w:r>
      <w:r w:rsidR="00402DF4" w:rsidRPr="00A20DC6">
        <w:rPr>
          <w:rFonts w:ascii="Times New Roman" w:hAnsi="Times New Roman" w:cs="Times New Roman"/>
          <w:sz w:val="24"/>
          <w:szCs w:val="24"/>
        </w:rPr>
        <w:t>Uiteraard zal in het individ</w:t>
      </w:r>
      <w:r w:rsidRPr="00A20DC6">
        <w:rPr>
          <w:rFonts w:ascii="Times New Roman" w:hAnsi="Times New Roman" w:cs="Times New Roman"/>
          <w:sz w:val="24"/>
          <w:szCs w:val="24"/>
        </w:rPr>
        <w:t>uele geval</w:t>
      </w:r>
      <w:r w:rsidR="00402DF4" w:rsidRPr="00A20DC6">
        <w:rPr>
          <w:rFonts w:ascii="Times New Roman" w:hAnsi="Times New Roman" w:cs="Times New Roman"/>
          <w:sz w:val="24"/>
          <w:szCs w:val="24"/>
        </w:rPr>
        <w:t xml:space="preserve"> altijd moeten worden bezien of de toepassing gelet op de feiten en omstandigheden in over</w:t>
      </w:r>
      <w:r w:rsidR="00A82546" w:rsidRPr="00A20DC6">
        <w:rPr>
          <w:rFonts w:ascii="Times New Roman" w:hAnsi="Times New Roman" w:cs="Times New Roman"/>
          <w:sz w:val="24"/>
          <w:szCs w:val="24"/>
        </w:rPr>
        <w:t>een</w:t>
      </w:r>
      <w:r w:rsidR="00402DF4" w:rsidRPr="00A20DC6">
        <w:rPr>
          <w:rFonts w:ascii="Times New Roman" w:hAnsi="Times New Roman" w:cs="Times New Roman"/>
          <w:sz w:val="24"/>
          <w:szCs w:val="24"/>
        </w:rPr>
        <w:t>stemming is met artikel 5 EVRM. H</w:t>
      </w:r>
      <w:r w:rsidRPr="00A20DC6">
        <w:rPr>
          <w:rFonts w:ascii="Times New Roman" w:hAnsi="Times New Roman" w:cs="Times New Roman"/>
          <w:sz w:val="24"/>
          <w:szCs w:val="24"/>
        </w:rPr>
        <w:t xml:space="preserve">et Nederlands recht biedt </w:t>
      </w:r>
      <w:r w:rsidR="00402DF4" w:rsidRPr="00A20DC6">
        <w:rPr>
          <w:rFonts w:ascii="Times New Roman" w:hAnsi="Times New Roman" w:cs="Times New Roman"/>
          <w:sz w:val="24"/>
          <w:szCs w:val="24"/>
        </w:rPr>
        <w:t xml:space="preserve">in dit verband de </w:t>
      </w:r>
      <w:r w:rsidR="00B82FFA" w:rsidRPr="00A20DC6">
        <w:rPr>
          <w:rFonts w:ascii="Times New Roman" w:hAnsi="Times New Roman" w:cs="Times New Roman"/>
          <w:sz w:val="24"/>
          <w:szCs w:val="24"/>
        </w:rPr>
        <w:t>door h</w:t>
      </w:r>
      <w:r w:rsidR="00402DF4" w:rsidRPr="00A20DC6">
        <w:rPr>
          <w:rFonts w:ascii="Times New Roman" w:hAnsi="Times New Roman" w:cs="Times New Roman"/>
          <w:sz w:val="24"/>
          <w:szCs w:val="24"/>
        </w:rPr>
        <w:t>et Hof verlangde waarborgen om de</w:t>
      </w:r>
      <w:r w:rsidR="00B82FFA" w:rsidRPr="00A20DC6">
        <w:rPr>
          <w:rFonts w:ascii="Times New Roman" w:hAnsi="Times New Roman" w:cs="Times New Roman"/>
          <w:sz w:val="24"/>
          <w:szCs w:val="24"/>
        </w:rPr>
        <w:t xml:space="preserve"> langer durende detentie</w:t>
      </w:r>
      <w:r w:rsidRPr="00A20DC6">
        <w:rPr>
          <w:rFonts w:ascii="Times New Roman" w:hAnsi="Times New Roman" w:cs="Times New Roman"/>
          <w:sz w:val="24"/>
          <w:szCs w:val="24"/>
        </w:rPr>
        <w:t xml:space="preserve"> in concrete gevallen te toetsen</w:t>
      </w:r>
      <w:r w:rsidR="00B82FFA" w:rsidRPr="00A20DC6">
        <w:rPr>
          <w:rFonts w:ascii="Times New Roman" w:hAnsi="Times New Roman" w:cs="Times New Roman"/>
          <w:sz w:val="24"/>
          <w:szCs w:val="24"/>
        </w:rPr>
        <w:t>: te wijzen valt onder andere op de vereisten inzake de aanwezigheid van gronden voor voorlopige hechtenis (artikel 67a, eerste en tweede lid, Sv), het anticipatiegebod (artikel 67a, derde lid, Sv), het vereiste van ernstige bezwaren als sterkere verdenking naarmate de voorlopige hechtenis van de verdachte langer duurt, periodieke verlengingsbeslissingen (artikelen 65 en 66 Sv), de mogelijkheid van een verzoek tot opheffing dan wel schorsing van de voorlopige hechtenis (artikelen 69 en 80 Sv), en toetsing van de voortgang van het onderzoek (door de raadkamer gevangenhouding in het kader van een beslissing over voortzetting van de voorlopige hechtenis en door de rechter-commissaris op grond van artikel 180 Sv).</w:t>
      </w:r>
    </w:p>
    <w:p w:rsidR="004302BE" w:rsidRPr="00A20DC6" w:rsidRDefault="004302BE" w:rsidP="00ED7853">
      <w:pPr>
        <w:pStyle w:val="NoSpacing"/>
        <w:rPr>
          <w:rFonts w:ascii="Times New Roman" w:hAnsi="Times New Roman" w:cs="Times New Roman"/>
          <w:b/>
          <w:bCs/>
          <w:sz w:val="24"/>
          <w:szCs w:val="24"/>
        </w:rPr>
      </w:pPr>
    </w:p>
    <w:p w:rsidR="005D1AC5" w:rsidRPr="00A20DC6" w:rsidRDefault="009E1DC2" w:rsidP="005D1AC5">
      <w:pPr>
        <w:pStyle w:val="NoSpacing"/>
        <w:rPr>
          <w:rFonts w:ascii="Times New Roman" w:hAnsi="Times New Roman" w:cs="Times New Roman"/>
          <w:i/>
          <w:iCs/>
          <w:sz w:val="24"/>
          <w:szCs w:val="24"/>
        </w:rPr>
      </w:pPr>
      <w:r w:rsidRPr="00A20DC6">
        <w:rPr>
          <w:rFonts w:ascii="Times New Roman" w:hAnsi="Times New Roman" w:cs="Times New Roman"/>
          <w:i/>
          <w:iCs/>
          <w:sz w:val="24"/>
          <w:szCs w:val="24"/>
        </w:rPr>
        <w:t>4</w:t>
      </w:r>
      <w:r w:rsidR="00113BD8" w:rsidRPr="00A20DC6">
        <w:rPr>
          <w:rFonts w:ascii="Times New Roman" w:hAnsi="Times New Roman" w:cs="Times New Roman"/>
          <w:i/>
          <w:iCs/>
          <w:sz w:val="24"/>
          <w:szCs w:val="24"/>
        </w:rPr>
        <w:t>.2</w:t>
      </w:r>
      <w:r w:rsidR="00113BD8" w:rsidRPr="00A20DC6">
        <w:rPr>
          <w:rFonts w:ascii="Times New Roman" w:hAnsi="Times New Roman" w:cs="Times New Roman"/>
          <w:i/>
          <w:iCs/>
          <w:sz w:val="24"/>
          <w:szCs w:val="24"/>
        </w:rPr>
        <w:tab/>
        <w:t>DNA-onderzoek</w:t>
      </w:r>
      <w:r w:rsidR="005D1AC5" w:rsidRPr="00A20DC6">
        <w:rPr>
          <w:rFonts w:ascii="Times New Roman" w:hAnsi="Times New Roman" w:cs="Times New Roman"/>
          <w:i/>
          <w:iCs/>
          <w:sz w:val="24"/>
          <w:szCs w:val="24"/>
        </w:rPr>
        <w:t xml:space="preserve"> bij een verdenking van terroristische misdrijven</w:t>
      </w:r>
    </w:p>
    <w:p w:rsidR="00537023" w:rsidRPr="000E35F5" w:rsidRDefault="005D1AC5" w:rsidP="00BB3131">
      <w:pPr>
        <w:pStyle w:val="NoSpacing"/>
        <w:rPr>
          <w:rFonts w:ascii="Times New Roman" w:hAnsi="Times New Roman" w:cs="Times New Roman"/>
          <w:sz w:val="24"/>
          <w:szCs w:val="24"/>
        </w:rPr>
      </w:pPr>
      <w:r w:rsidRPr="00A20DC6">
        <w:rPr>
          <w:rFonts w:ascii="Times New Roman" w:hAnsi="Times New Roman" w:cs="Times New Roman"/>
          <w:sz w:val="24"/>
          <w:szCs w:val="24"/>
        </w:rPr>
        <w:t xml:space="preserve">Het openbaar ministerie heeft aandacht gevraagd voor de </w:t>
      </w:r>
      <w:r w:rsidR="005B5C5C" w:rsidRPr="00A20DC6">
        <w:rPr>
          <w:rFonts w:ascii="Times New Roman" w:hAnsi="Times New Roman" w:cs="Times New Roman"/>
          <w:sz w:val="24"/>
          <w:szCs w:val="24"/>
        </w:rPr>
        <w:t>regeling voor het afnemen van DNA bij verdachten van terroristische misdrijven</w:t>
      </w:r>
      <w:r w:rsidRPr="00A20DC6">
        <w:rPr>
          <w:rFonts w:ascii="Times New Roman" w:hAnsi="Times New Roman" w:cs="Times New Roman"/>
          <w:sz w:val="24"/>
          <w:szCs w:val="24"/>
        </w:rPr>
        <w:t>.</w:t>
      </w:r>
      <w:r w:rsidR="001D0303" w:rsidRPr="00A20DC6">
        <w:rPr>
          <w:rFonts w:ascii="Times New Roman" w:hAnsi="Times New Roman" w:cs="Times New Roman"/>
          <w:sz w:val="24"/>
          <w:szCs w:val="24"/>
        </w:rPr>
        <w:t xml:space="preserve"> Thans zijn daarvoor op grond van artikel 151b, eerste lid, Sv ernstige bezwaren vereist. Dit kan een belemmering vormen voor </w:t>
      </w:r>
      <w:r w:rsidR="001D0303" w:rsidRPr="000E35F5">
        <w:rPr>
          <w:rFonts w:ascii="Times New Roman" w:hAnsi="Times New Roman" w:cs="Times New Roman"/>
          <w:sz w:val="24"/>
          <w:szCs w:val="24"/>
        </w:rPr>
        <w:t xml:space="preserve">adequaat onderzoek naar terroristische misdrijven. Gedacht kan worden aan het volgende geval. </w:t>
      </w:r>
      <w:r w:rsidRPr="000E35F5">
        <w:rPr>
          <w:rFonts w:ascii="Times New Roman" w:hAnsi="Times New Roman" w:cs="Times New Roman"/>
          <w:sz w:val="24"/>
          <w:szCs w:val="24"/>
        </w:rPr>
        <w:t xml:space="preserve">Een aantal verdachten wordt aangehouden op verdenking van het voorbereiden van terroristische misdrijven. Hoe de onderlinge relatie en </w:t>
      </w:r>
      <w:r w:rsidR="007B5AB3" w:rsidRPr="000E35F5">
        <w:rPr>
          <w:rFonts w:ascii="Times New Roman" w:hAnsi="Times New Roman" w:cs="Times New Roman"/>
          <w:sz w:val="24"/>
          <w:szCs w:val="24"/>
        </w:rPr>
        <w:t xml:space="preserve">de </w:t>
      </w:r>
      <w:r w:rsidRPr="000E35F5">
        <w:rPr>
          <w:rFonts w:ascii="Times New Roman" w:hAnsi="Times New Roman" w:cs="Times New Roman"/>
          <w:sz w:val="24"/>
          <w:szCs w:val="24"/>
        </w:rPr>
        <w:t xml:space="preserve">werkverdeling tussen deze verdachten </w:t>
      </w:r>
      <w:r w:rsidR="007B5AB3" w:rsidRPr="000E35F5">
        <w:rPr>
          <w:rFonts w:ascii="Times New Roman" w:hAnsi="Times New Roman" w:cs="Times New Roman"/>
          <w:sz w:val="24"/>
          <w:szCs w:val="24"/>
        </w:rPr>
        <w:t xml:space="preserve">is </w:t>
      </w:r>
      <w:r w:rsidR="001D0303" w:rsidRPr="000E35F5">
        <w:rPr>
          <w:rFonts w:ascii="Times New Roman" w:hAnsi="Times New Roman" w:cs="Times New Roman"/>
          <w:sz w:val="24"/>
          <w:szCs w:val="24"/>
        </w:rPr>
        <w:t>behoeft nader onderzoek</w:t>
      </w:r>
      <w:r w:rsidRPr="000E35F5">
        <w:rPr>
          <w:rFonts w:ascii="Times New Roman" w:hAnsi="Times New Roman" w:cs="Times New Roman"/>
          <w:sz w:val="24"/>
          <w:szCs w:val="24"/>
        </w:rPr>
        <w:t>. Bij een van de verdachten wordt een vuurwapen aangetroffen. Op grond van artik</w:t>
      </w:r>
      <w:r w:rsidR="001D0303" w:rsidRPr="000E35F5">
        <w:rPr>
          <w:rFonts w:ascii="Times New Roman" w:hAnsi="Times New Roman" w:cs="Times New Roman"/>
          <w:sz w:val="24"/>
          <w:szCs w:val="24"/>
        </w:rPr>
        <w:t>el 151b, eerste lid, Sv zullen</w:t>
      </w:r>
      <w:r w:rsidR="00F01CEA" w:rsidRPr="000E35F5">
        <w:rPr>
          <w:rFonts w:ascii="Times New Roman" w:hAnsi="Times New Roman" w:cs="Times New Roman"/>
          <w:sz w:val="24"/>
          <w:szCs w:val="24"/>
        </w:rPr>
        <w:t xml:space="preserve"> ten aanzien van deze verdachte</w:t>
      </w:r>
      <w:r w:rsidR="001D0303" w:rsidRPr="000E35F5">
        <w:rPr>
          <w:rFonts w:ascii="Times New Roman" w:hAnsi="Times New Roman" w:cs="Times New Roman"/>
          <w:sz w:val="24"/>
          <w:szCs w:val="24"/>
        </w:rPr>
        <w:t xml:space="preserve"> </w:t>
      </w:r>
      <w:r w:rsidRPr="000E35F5">
        <w:rPr>
          <w:rFonts w:ascii="Times New Roman" w:hAnsi="Times New Roman" w:cs="Times New Roman"/>
          <w:sz w:val="24"/>
          <w:szCs w:val="24"/>
        </w:rPr>
        <w:t xml:space="preserve">ernstige bezwaren </w:t>
      </w:r>
      <w:r w:rsidR="001D0303" w:rsidRPr="000E35F5">
        <w:rPr>
          <w:rFonts w:ascii="Times New Roman" w:hAnsi="Times New Roman" w:cs="Times New Roman"/>
          <w:sz w:val="24"/>
          <w:szCs w:val="24"/>
        </w:rPr>
        <w:t xml:space="preserve">bestaan </w:t>
      </w:r>
      <w:r w:rsidRPr="000E35F5">
        <w:rPr>
          <w:rFonts w:ascii="Times New Roman" w:hAnsi="Times New Roman" w:cs="Times New Roman"/>
          <w:sz w:val="24"/>
          <w:szCs w:val="24"/>
        </w:rPr>
        <w:t>van het voorha</w:t>
      </w:r>
      <w:r w:rsidR="001D0303" w:rsidRPr="000E35F5">
        <w:rPr>
          <w:rFonts w:ascii="Times New Roman" w:hAnsi="Times New Roman" w:cs="Times New Roman"/>
          <w:sz w:val="24"/>
          <w:szCs w:val="24"/>
        </w:rPr>
        <w:t>nden hebben van een vuurwapen: dit maakt het mogelijk om bij hem DNA af te nemen</w:t>
      </w:r>
      <w:r w:rsidRPr="000E35F5">
        <w:rPr>
          <w:rFonts w:ascii="Times New Roman" w:hAnsi="Times New Roman" w:cs="Times New Roman"/>
          <w:sz w:val="24"/>
          <w:szCs w:val="24"/>
        </w:rPr>
        <w:t xml:space="preserve"> teneinde te</w:t>
      </w:r>
      <w:r w:rsidR="001D0303" w:rsidRPr="000E35F5">
        <w:rPr>
          <w:rFonts w:ascii="Times New Roman" w:hAnsi="Times New Roman" w:cs="Times New Roman"/>
          <w:sz w:val="24"/>
          <w:szCs w:val="24"/>
        </w:rPr>
        <w:t xml:space="preserve"> zien of op het wapen sporen van hem </w:t>
      </w:r>
      <w:r w:rsidRPr="000E35F5">
        <w:rPr>
          <w:rFonts w:ascii="Times New Roman" w:hAnsi="Times New Roman" w:cs="Times New Roman"/>
          <w:sz w:val="24"/>
          <w:szCs w:val="24"/>
        </w:rPr>
        <w:t xml:space="preserve">worden aangetroffen. Dergelijk onderzoek zal </w:t>
      </w:r>
      <w:r w:rsidR="001D0303" w:rsidRPr="000E35F5">
        <w:rPr>
          <w:rFonts w:ascii="Times New Roman" w:hAnsi="Times New Roman" w:cs="Times New Roman"/>
          <w:sz w:val="24"/>
          <w:szCs w:val="24"/>
        </w:rPr>
        <w:t xml:space="preserve">echter </w:t>
      </w:r>
      <w:r w:rsidRPr="000E35F5">
        <w:rPr>
          <w:rFonts w:ascii="Times New Roman" w:hAnsi="Times New Roman" w:cs="Times New Roman"/>
          <w:sz w:val="24"/>
          <w:szCs w:val="24"/>
        </w:rPr>
        <w:t>niet mogelijk</w:t>
      </w:r>
      <w:r w:rsidR="00F01CEA" w:rsidRPr="000E35F5">
        <w:rPr>
          <w:rFonts w:ascii="Times New Roman" w:hAnsi="Times New Roman" w:cs="Times New Roman"/>
          <w:sz w:val="24"/>
          <w:szCs w:val="24"/>
        </w:rPr>
        <w:t xml:space="preserve"> zijn bij de medeverdachten indien deze weigeren mee te werken aan DNA-onderzoek,</w:t>
      </w:r>
      <w:r w:rsidR="001D0303" w:rsidRPr="000E35F5">
        <w:rPr>
          <w:rFonts w:ascii="Times New Roman" w:hAnsi="Times New Roman" w:cs="Times New Roman"/>
          <w:sz w:val="24"/>
          <w:szCs w:val="24"/>
        </w:rPr>
        <w:t xml:space="preserve"> terwijl het voorstelbaar is dat wellicht sporen van hen op</w:t>
      </w:r>
      <w:r w:rsidRPr="000E35F5">
        <w:rPr>
          <w:rFonts w:ascii="Times New Roman" w:hAnsi="Times New Roman" w:cs="Times New Roman"/>
          <w:sz w:val="24"/>
          <w:szCs w:val="24"/>
        </w:rPr>
        <w:t xml:space="preserve"> het v</w:t>
      </w:r>
      <w:r w:rsidR="001D0303" w:rsidRPr="000E35F5">
        <w:rPr>
          <w:rFonts w:ascii="Times New Roman" w:hAnsi="Times New Roman" w:cs="Times New Roman"/>
          <w:sz w:val="24"/>
          <w:szCs w:val="24"/>
        </w:rPr>
        <w:t xml:space="preserve">uurwapen worden aangetroffen. </w:t>
      </w:r>
      <w:r w:rsidR="00CA5A7B" w:rsidRPr="000E35F5">
        <w:rPr>
          <w:rFonts w:ascii="Times New Roman" w:hAnsi="Times New Roman" w:cs="Times New Roman"/>
          <w:sz w:val="24"/>
          <w:szCs w:val="24"/>
        </w:rPr>
        <w:t>Het is juist dit aanvullende onderzoek dat een verdenking zou kunnen versterken tot ernstige bezwaren, dan wel het mogelijk zou maken om de betrokkenheid van de desbetreffende verdachten uit te sluiten.</w:t>
      </w:r>
      <w:r w:rsidR="007B5AB3" w:rsidRPr="000E35F5">
        <w:rPr>
          <w:rFonts w:ascii="Times New Roman" w:hAnsi="Times New Roman" w:cs="Times New Roman"/>
          <w:sz w:val="24"/>
          <w:szCs w:val="24"/>
        </w:rPr>
        <w:t xml:space="preserve"> </w:t>
      </w:r>
      <w:r w:rsidR="00047A3B" w:rsidRPr="000E35F5">
        <w:rPr>
          <w:rFonts w:ascii="Times New Roman" w:hAnsi="Times New Roman" w:cs="Times New Roman"/>
          <w:sz w:val="24"/>
          <w:szCs w:val="24"/>
        </w:rPr>
        <w:t>Gelet op het grote belang om omvattend onderzoek te kunnen verrichten naar terroristische misdrijven, wordt voorgesteld om het mogelijk te maken om bij verdachten van terroristische misdrijven celmateriaal af te nemen ten behoeve van de uitvoering van een DNA-onderzoek zonder dat daarvoor ernstige bezwaren zijn vereist.</w:t>
      </w:r>
      <w:r w:rsidR="008C3AF8" w:rsidRPr="000E35F5">
        <w:rPr>
          <w:rFonts w:ascii="Times New Roman" w:hAnsi="Times New Roman" w:cs="Times New Roman"/>
          <w:sz w:val="24"/>
          <w:szCs w:val="24"/>
        </w:rPr>
        <w:t xml:space="preserve"> </w:t>
      </w:r>
    </w:p>
    <w:p w:rsidR="001C5B0D" w:rsidRPr="000E35F5" w:rsidRDefault="001C5B0D" w:rsidP="008C3AF8">
      <w:pPr>
        <w:pStyle w:val="NoSpacing"/>
        <w:rPr>
          <w:rFonts w:ascii="Times New Roman" w:hAnsi="Times New Roman" w:cs="Times New Roman"/>
          <w:sz w:val="24"/>
          <w:szCs w:val="24"/>
        </w:rPr>
      </w:pPr>
    </w:p>
    <w:p w:rsidR="00BB3131" w:rsidRPr="000E35F5" w:rsidRDefault="00D86D53" w:rsidP="00BB3131">
      <w:pPr>
        <w:pStyle w:val="NoSpacing"/>
        <w:rPr>
          <w:rFonts w:ascii="Times New Roman" w:hAnsi="Times New Roman" w:cs="Times New Roman"/>
          <w:sz w:val="24"/>
          <w:szCs w:val="24"/>
        </w:rPr>
      </w:pPr>
      <w:r w:rsidRPr="000E35F5">
        <w:rPr>
          <w:rFonts w:ascii="Times New Roman" w:hAnsi="Times New Roman" w:cs="Times New Roman"/>
          <w:sz w:val="24"/>
          <w:szCs w:val="24"/>
        </w:rPr>
        <w:t xml:space="preserve">In het kader van het voorstel is in het bijzonder ook gekeken naar </w:t>
      </w:r>
      <w:r w:rsidR="009E4944" w:rsidRPr="000E35F5">
        <w:rPr>
          <w:rFonts w:ascii="Times New Roman" w:hAnsi="Times New Roman" w:cs="Times New Roman"/>
          <w:sz w:val="24"/>
          <w:szCs w:val="24"/>
        </w:rPr>
        <w:t>de</w:t>
      </w:r>
      <w:r w:rsidRPr="000E35F5">
        <w:rPr>
          <w:rFonts w:ascii="Times New Roman" w:hAnsi="Times New Roman" w:cs="Times New Roman"/>
          <w:sz w:val="24"/>
          <w:szCs w:val="24"/>
        </w:rPr>
        <w:t xml:space="preserve"> proportionaliteit van de verruiming van de mogelijkheid om celmateriaal af te nemen. </w:t>
      </w:r>
      <w:r w:rsidR="009E4944" w:rsidRPr="000E35F5">
        <w:rPr>
          <w:rFonts w:ascii="Times New Roman" w:hAnsi="Times New Roman" w:cs="Times New Roman"/>
          <w:sz w:val="24"/>
          <w:szCs w:val="24"/>
        </w:rPr>
        <w:t>De afname van celmateriaal ten behoeve van</w:t>
      </w:r>
      <w:r w:rsidRPr="000E35F5">
        <w:rPr>
          <w:rFonts w:ascii="Times New Roman" w:hAnsi="Times New Roman" w:cs="Times New Roman"/>
          <w:sz w:val="24"/>
          <w:szCs w:val="24"/>
        </w:rPr>
        <w:t xml:space="preserve"> DNA-onderzoek is immers </w:t>
      </w:r>
      <w:r w:rsidR="009E4944" w:rsidRPr="000E35F5">
        <w:rPr>
          <w:rFonts w:ascii="Times New Roman" w:hAnsi="Times New Roman" w:cs="Times New Roman"/>
          <w:sz w:val="24"/>
          <w:szCs w:val="24"/>
        </w:rPr>
        <w:t>een inbreuk op het recht op privéleven, beschermd door arti</w:t>
      </w:r>
      <w:r w:rsidRPr="000E35F5">
        <w:rPr>
          <w:rFonts w:ascii="Times New Roman" w:hAnsi="Times New Roman" w:cs="Times New Roman"/>
          <w:sz w:val="24"/>
          <w:szCs w:val="24"/>
        </w:rPr>
        <w:t>kel 8 EVRM. D</w:t>
      </w:r>
      <w:r w:rsidR="009E4944" w:rsidRPr="000E35F5">
        <w:rPr>
          <w:rFonts w:ascii="Times New Roman" w:hAnsi="Times New Roman" w:cs="Times New Roman"/>
          <w:sz w:val="24"/>
          <w:szCs w:val="24"/>
        </w:rPr>
        <w:t xml:space="preserve">e maatregel </w:t>
      </w:r>
      <w:r w:rsidRPr="000E35F5">
        <w:rPr>
          <w:rFonts w:ascii="Times New Roman" w:hAnsi="Times New Roman" w:cs="Times New Roman"/>
          <w:sz w:val="24"/>
          <w:szCs w:val="24"/>
        </w:rPr>
        <w:t xml:space="preserve">kan echter </w:t>
      </w:r>
      <w:r w:rsidR="009E4944" w:rsidRPr="000E35F5">
        <w:rPr>
          <w:rFonts w:ascii="Times New Roman" w:hAnsi="Times New Roman" w:cs="Times New Roman"/>
          <w:sz w:val="24"/>
          <w:szCs w:val="24"/>
        </w:rPr>
        <w:t>gerechtvaardigd</w:t>
      </w:r>
      <w:r w:rsidRPr="000E35F5">
        <w:rPr>
          <w:rFonts w:ascii="Times New Roman" w:hAnsi="Times New Roman" w:cs="Times New Roman"/>
          <w:sz w:val="24"/>
          <w:szCs w:val="24"/>
        </w:rPr>
        <w:t xml:space="preserve"> zijn, zo blijkt uit de rechtspraak van het Europees Hof voor de rechten van de mens, in het bijzonder in het kader</w:t>
      </w:r>
      <w:r w:rsidR="009E4944" w:rsidRPr="000E35F5">
        <w:rPr>
          <w:rFonts w:ascii="Times New Roman" w:hAnsi="Times New Roman" w:cs="Times New Roman"/>
          <w:sz w:val="24"/>
          <w:szCs w:val="24"/>
        </w:rPr>
        <w:t xml:space="preserve"> van het onderzoek naar misdrijven van een zekere ernst; terroristische misdrijven behoren daartoe (zie</w:t>
      </w:r>
      <w:r w:rsidR="0042366D">
        <w:rPr>
          <w:rFonts w:ascii="Times New Roman" w:hAnsi="Times New Roman" w:cs="Times New Roman"/>
          <w:sz w:val="24"/>
          <w:szCs w:val="24"/>
        </w:rPr>
        <w:t xml:space="preserve"> EHRM 4 december 2008, appl. nr</w:t>
      </w:r>
      <w:r w:rsidR="009E4944" w:rsidRPr="000E35F5">
        <w:rPr>
          <w:rFonts w:ascii="Times New Roman" w:hAnsi="Times New Roman" w:cs="Times New Roman"/>
          <w:sz w:val="24"/>
          <w:szCs w:val="24"/>
        </w:rPr>
        <w:t xml:space="preserve">s. 30562/04 en 30566/04; S. en Marper t. Verenigd Koninkrijk). Het EHRM stelt geen nadere eisen aan de graad van de verdenking die moet bestaan tegen een verdachte van die misdrijven. Wel dienen in algemene zin beperkende regels te worden gesteld aan bewaring van de verkregen gegevens in een DNA-databank. De Nederlandse wetgeving voldoet aan dat vereiste. </w:t>
      </w:r>
    </w:p>
    <w:p w:rsidR="009E4944" w:rsidRPr="000E35F5" w:rsidRDefault="00BB3131" w:rsidP="00BB3131">
      <w:pPr>
        <w:pStyle w:val="NoSpacing"/>
        <w:rPr>
          <w:rFonts w:ascii="Times New Roman" w:hAnsi="Times New Roman" w:cs="Times New Roman"/>
          <w:sz w:val="24"/>
          <w:szCs w:val="24"/>
        </w:rPr>
      </w:pPr>
      <w:r w:rsidRPr="000E35F5">
        <w:rPr>
          <w:rFonts w:ascii="Times New Roman" w:hAnsi="Times New Roman" w:cs="Times New Roman"/>
          <w:sz w:val="24"/>
          <w:szCs w:val="24"/>
        </w:rPr>
        <w:t xml:space="preserve">Zoals de NOvA in haar advies aanraadde, dient met het oog op de proportionaliteit de mogelijkheid van afname van celmateriaal </w:t>
      </w:r>
      <w:r w:rsidR="00C953A3" w:rsidRPr="000E35F5">
        <w:rPr>
          <w:rFonts w:ascii="Times New Roman" w:hAnsi="Times New Roman" w:cs="Times New Roman"/>
          <w:sz w:val="24"/>
          <w:szCs w:val="24"/>
        </w:rPr>
        <w:t xml:space="preserve">voorts </w:t>
      </w:r>
      <w:r w:rsidRPr="000E35F5">
        <w:rPr>
          <w:rFonts w:ascii="Times New Roman" w:hAnsi="Times New Roman" w:cs="Times New Roman"/>
          <w:sz w:val="24"/>
          <w:szCs w:val="24"/>
        </w:rPr>
        <w:t>beperkt te blijven tot medeverdachten die zelf actief onderwerp van onderzoek zijn in verband met het plegen van ernstige misdrijven: dit kan tot uiting worden gebracht door in de wet de voorwaarde te stellen dat het afnemen van celmateriaal ten behoeve van DNA-onderzoek alleen plaatsvindt bij verdachten die in verzekering zijn gesteld op basis van een verdenking van een terroristisch misdrijf. Het wetsvoorstel is in die zin aangepast.</w:t>
      </w:r>
    </w:p>
    <w:p w:rsidR="008F49D4" w:rsidRPr="000E35F5" w:rsidRDefault="008F49D4" w:rsidP="008C3AF8">
      <w:pPr>
        <w:pStyle w:val="NoSpacing"/>
        <w:rPr>
          <w:rFonts w:ascii="Times New Roman" w:hAnsi="Times New Roman" w:cs="Times New Roman"/>
          <w:sz w:val="24"/>
          <w:szCs w:val="24"/>
        </w:rPr>
      </w:pPr>
    </w:p>
    <w:p w:rsidR="00087F8E" w:rsidRPr="00CB33AE" w:rsidRDefault="00236D7C" w:rsidP="00671BCF">
      <w:pPr>
        <w:pStyle w:val="NoSpacing"/>
        <w:rPr>
          <w:rFonts w:ascii="Times New Roman" w:hAnsi="Times New Roman" w:cs="Times New Roman"/>
          <w:sz w:val="24"/>
          <w:szCs w:val="24"/>
        </w:rPr>
      </w:pPr>
      <w:r w:rsidRPr="000E35F5">
        <w:rPr>
          <w:rFonts w:ascii="Times New Roman" w:hAnsi="Times New Roman" w:cs="Times New Roman"/>
          <w:sz w:val="24"/>
          <w:szCs w:val="24"/>
        </w:rPr>
        <w:t>De Nationale P</w:t>
      </w:r>
      <w:r w:rsidR="008F49D4" w:rsidRPr="000E35F5">
        <w:rPr>
          <w:rFonts w:ascii="Times New Roman" w:hAnsi="Times New Roman" w:cs="Times New Roman"/>
          <w:sz w:val="24"/>
          <w:szCs w:val="24"/>
        </w:rPr>
        <w:t>olitie gaf in</w:t>
      </w:r>
      <w:r w:rsidR="008F49D4" w:rsidRPr="00CB33AE">
        <w:rPr>
          <w:rFonts w:ascii="Times New Roman" w:hAnsi="Times New Roman" w:cs="Times New Roman"/>
          <w:sz w:val="24"/>
          <w:szCs w:val="24"/>
        </w:rPr>
        <w:t xml:space="preserve"> haar advies in overweging om de DNA-profielen van verdachten van terroristische misdrijven bij het Nederlands Forensisch Instituut (NFI) </w:t>
      </w:r>
      <w:r w:rsidR="00087F8E" w:rsidRPr="00CB33AE">
        <w:rPr>
          <w:rFonts w:ascii="Times New Roman" w:hAnsi="Times New Roman" w:cs="Times New Roman"/>
          <w:sz w:val="24"/>
          <w:szCs w:val="24"/>
        </w:rPr>
        <w:t>in een nieuw afzonderlijk bestand – dit bestand wordt in het advies aangeduid als het CTER-bestand (CTER staat voor: contra terrorisme, extremisme en radicalisering) – op te nemen en niet in de DNA-databank voor strafzaken waarin normaal gesproken de DNA-profielen van verdachten worden verwerkt. De argumenten die zij daarvoor noemt, zijn de ontwikkelingen op het terrein van LocalDNA – dat is DNA-onderzoek op locatie door de forensische opsporing – en de aanname dat de DNA-profielen die via LocalDNA aan het NFI voor vergelijking zullen worden aangeboden, meestal niet volledig zullen zijn en dat een vergelijking van niet-volledige DNA-profielen sneller zal gaan als die profielen niet hoeven te worden vergeleken met alle DNA-profielen uit de DNA-databank voor strafzaken, maar alleen met de DNA-profielen van de doelgroep. Over de mogelijke invoering van het project LocalDNA (zie Kamerstukken II 2016/17, 31 415</w:t>
      </w:r>
      <w:r w:rsidRPr="00CB33AE">
        <w:rPr>
          <w:rFonts w:ascii="Times New Roman" w:hAnsi="Times New Roman" w:cs="Times New Roman"/>
          <w:sz w:val="24"/>
          <w:szCs w:val="24"/>
        </w:rPr>
        <w:t>, nr. 13) voert het NFI met de Nationale P</w:t>
      </w:r>
      <w:r w:rsidR="00087F8E" w:rsidRPr="00CB33AE">
        <w:rPr>
          <w:rFonts w:ascii="Times New Roman" w:hAnsi="Times New Roman" w:cs="Times New Roman"/>
          <w:sz w:val="24"/>
          <w:szCs w:val="24"/>
        </w:rPr>
        <w:t>olitie en het openbaar ministerie overleg. Mijn ministerie is bij dat overleg betrokken. DNA-onderzoek op locatie kan de politie onder de huidige juridische en kwaliteitskaders nog niet uitvoe</w:t>
      </w:r>
      <w:r w:rsidR="00C72BDC">
        <w:rPr>
          <w:rFonts w:ascii="Times New Roman" w:hAnsi="Times New Roman" w:cs="Times New Roman"/>
          <w:sz w:val="24"/>
          <w:szCs w:val="24"/>
        </w:rPr>
        <w:t xml:space="preserve">ren. Het project LocalDNA is </w:t>
      </w:r>
      <w:r w:rsidR="00087F8E" w:rsidRPr="00CB33AE">
        <w:rPr>
          <w:rFonts w:ascii="Times New Roman" w:hAnsi="Times New Roman" w:cs="Times New Roman"/>
          <w:sz w:val="24"/>
          <w:szCs w:val="24"/>
        </w:rPr>
        <w:t xml:space="preserve">onder andere </w:t>
      </w:r>
      <w:r w:rsidR="00C72BDC">
        <w:rPr>
          <w:rFonts w:ascii="Times New Roman" w:hAnsi="Times New Roman" w:cs="Times New Roman"/>
          <w:sz w:val="24"/>
          <w:szCs w:val="24"/>
        </w:rPr>
        <w:t>er</w:t>
      </w:r>
      <w:r w:rsidR="00087F8E" w:rsidRPr="00CB33AE">
        <w:rPr>
          <w:rFonts w:ascii="Times New Roman" w:hAnsi="Times New Roman" w:cs="Times New Roman"/>
          <w:sz w:val="24"/>
          <w:szCs w:val="24"/>
        </w:rPr>
        <w:t>op gericht om processen en technieken te ontwikkelen en juridische randvoorwaarden te creëren die de toepassing daarvan wel mogelijk maken. Indien, na afronding van het project LocalDNA, besloten zal worden tot invoering van DNA-onderzoek op locatie door de po</w:t>
      </w:r>
      <w:r w:rsidR="0042366D">
        <w:rPr>
          <w:rFonts w:ascii="Times New Roman" w:hAnsi="Times New Roman" w:cs="Times New Roman"/>
          <w:sz w:val="24"/>
          <w:szCs w:val="24"/>
        </w:rPr>
        <w:t>litie, zal het voorstel van de Nationale P</w:t>
      </w:r>
      <w:r w:rsidR="00087F8E" w:rsidRPr="00CB33AE">
        <w:rPr>
          <w:rFonts w:ascii="Times New Roman" w:hAnsi="Times New Roman" w:cs="Times New Roman"/>
          <w:sz w:val="24"/>
          <w:szCs w:val="24"/>
        </w:rPr>
        <w:t>olitie uit het advies bij dit wetsvoorstel op zijn merites worden beoordeeld. Vooralsnog lijkt de oprichting van een afzonderlijk databank met de DNA-profielen van verdachten van terroristische misdrijven niet nodig. Daarenboven bestaat er op dit moment al een voorziening om snel te kunnen acteren in geval van terroristische aanslagen in Nederland. De eventuele sporen van de mogelijke dader(s) van een  aanslag kunnen – onder de accreditatie van het NFI – worden ingevoerd in de mobiele apparatuur waarove</w:t>
      </w:r>
      <w:r w:rsidR="0042366D">
        <w:rPr>
          <w:rFonts w:ascii="Times New Roman" w:hAnsi="Times New Roman" w:cs="Times New Roman"/>
          <w:sz w:val="24"/>
          <w:szCs w:val="24"/>
        </w:rPr>
        <w:t>r de landelijke eenheid van de Nationale P</w:t>
      </w:r>
      <w:r w:rsidR="00C72BDC">
        <w:rPr>
          <w:rFonts w:ascii="Times New Roman" w:hAnsi="Times New Roman" w:cs="Times New Roman"/>
          <w:sz w:val="24"/>
          <w:szCs w:val="24"/>
        </w:rPr>
        <w:t xml:space="preserve">olitie beschikt. Met </w:t>
      </w:r>
      <w:r w:rsidR="00087F8E" w:rsidRPr="00CB33AE">
        <w:rPr>
          <w:rFonts w:ascii="Times New Roman" w:hAnsi="Times New Roman" w:cs="Times New Roman"/>
          <w:sz w:val="24"/>
          <w:szCs w:val="24"/>
        </w:rPr>
        <w:t>behulp daarvan kan een DNA-profiel van die sporen worden bepaald dat online kan worden vergeleken met de DNA-profielen die in de DNA-databank voor strafzaken zijn verwerkt met als doel zo snel mogelijk de identiteit van die dader(s) te achterhalen.</w:t>
      </w:r>
    </w:p>
    <w:p w:rsidR="00087F8E" w:rsidRPr="00CB33AE" w:rsidRDefault="00087F8E" w:rsidP="005B5C5C">
      <w:pPr>
        <w:pStyle w:val="NoSpacing"/>
        <w:rPr>
          <w:rFonts w:ascii="Times New Roman" w:hAnsi="Times New Roman" w:cs="Times New Roman"/>
          <w:sz w:val="24"/>
          <w:szCs w:val="24"/>
        </w:rPr>
      </w:pPr>
    </w:p>
    <w:p w:rsidR="00FA0E02" w:rsidRPr="00CB33AE" w:rsidRDefault="009E1DC2" w:rsidP="00ED7853">
      <w:pPr>
        <w:pStyle w:val="NoSpacing"/>
        <w:rPr>
          <w:rFonts w:ascii="Times New Roman" w:hAnsi="Times New Roman" w:cs="Times New Roman"/>
          <w:i/>
          <w:iCs/>
          <w:sz w:val="24"/>
          <w:szCs w:val="24"/>
        </w:rPr>
      </w:pPr>
      <w:r w:rsidRPr="00CB33AE">
        <w:rPr>
          <w:rFonts w:ascii="Times New Roman" w:hAnsi="Times New Roman" w:cs="Times New Roman"/>
          <w:i/>
          <w:iCs/>
          <w:sz w:val="24"/>
          <w:szCs w:val="24"/>
        </w:rPr>
        <w:t>4</w:t>
      </w:r>
      <w:r w:rsidR="004302BE" w:rsidRPr="00CB33AE">
        <w:rPr>
          <w:rFonts w:ascii="Times New Roman" w:hAnsi="Times New Roman" w:cs="Times New Roman"/>
          <w:i/>
          <w:iCs/>
          <w:sz w:val="24"/>
          <w:szCs w:val="24"/>
        </w:rPr>
        <w:t>.3</w:t>
      </w:r>
      <w:r w:rsidR="004302BE" w:rsidRPr="00CB33AE">
        <w:rPr>
          <w:rFonts w:ascii="Times New Roman" w:hAnsi="Times New Roman" w:cs="Times New Roman"/>
          <w:i/>
          <w:iCs/>
          <w:sz w:val="24"/>
          <w:szCs w:val="24"/>
        </w:rPr>
        <w:tab/>
      </w:r>
      <w:r w:rsidR="008F0F7E" w:rsidRPr="00CB33AE">
        <w:rPr>
          <w:rFonts w:ascii="Times New Roman" w:hAnsi="Times New Roman" w:cs="Times New Roman"/>
          <w:i/>
          <w:iCs/>
          <w:sz w:val="24"/>
          <w:szCs w:val="24"/>
        </w:rPr>
        <w:t>Aangifteplicht voor terroristische misdrijven en voorbereidingsfeiten</w:t>
      </w:r>
    </w:p>
    <w:p w:rsidR="002B6A7C" w:rsidRPr="00CB33AE" w:rsidRDefault="005817FC" w:rsidP="002B6A7C">
      <w:pPr>
        <w:pStyle w:val="NoSpacing"/>
        <w:rPr>
          <w:rFonts w:ascii="Times New Roman" w:hAnsi="Times New Roman" w:cs="Times New Roman"/>
          <w:sz w:val="24"/>
          <w:szCs w:val="24"/>
        </w:rPr>
      </w:pPr>
      <w:r w:rsidRPr="00CB33AE">
        <w:rPr>
          <w:rFonts w:ascii="Times New Roman" w:hAnsi="Times New Roman" w:cs="Times New Roman"/>
          <w:sz w:val="24"/>
          <w:szCs w:val="24"/>
        </w:rPr>
        <w:t xml:space="preserve">Het Wetboek van Strafvordering kent </w:t>
      </w:r>
      <w:r w:rsidR="002B6A7C" w:rsidRPr="00CB33AE">
        <w:rPr>
          <w:rFonts w:ascii="Times New Roman" w:hAnsi="Times New Roman" w:cs="Times New Roman"/>
          <w:sz w:val="24"/>
          <w:szCs w:val="24"/>
        </w:rPr>
        <w:t xml:space="preserve">in de artikel 160 </w:t>
      </w:r>
      <w:r w:rsidRPr="00CB33AE">
        <w:rPr>
          <w:rFonts w:ascii="Times New Roman" w:hAnsi="Times New Roman" w:cs="Times New Roman"/>
          <w:sz w:val="24"/>
          <w:szCs w:val="24"/>
        </w:rPr>
        <w:t xml:space="preserve">ten aanzien van </w:t>
      </w:r>
      <w:r w:rsidR="007C39DC" w:rsidRPr="00CB33AE">
        <w:rPr>
          <w:rFonts w:ascii="Times New Roman" w:hAnsi="Times New Roman" w:cs="Times New Roman"/>
          <w:sz w:val="24"/>
          <w:szCs w:val="24"/>
        </w:rPr>
        <w:t xml:space="preserve">bepaalde </w:t>
      </w:r>
      <w:r w:rsidR="002B6A7C" w:rsidRPr="00CB33AE">
        <w:rPr>
          <w:rFonts w:ascii="Times New Roman" w:hAnsi="Times New Roman" w:cs="Times New Roman"/>
          <w:sz w:val="24"/>
          <w:szCs w:val="24"/>
        </w:rPr>
        <w:t xml:space="preserve">ernstige </w:t>
      </w:r>
      <w:r w:rsidR="00554D6B" w:rsidRPr="00CB33AE">
        <w:rPr>
          <w:rFonts w:ascii="Times New Roman" w:hAnsi="Times New Roman" w:cs="Times New Roman"/>
          <w:sz w:val="24"/>
          <w:szCs w:val="24"/>
        </w:rPr>
        <w:t xml:space="preserve">misdrijven </w:t>
      </w:r>
      <w:r w:rsidR="002B6A7C" w:rsidRPr="00CB33AE">
        <w:rPr>
          <w:rFonts w:ascii="Times New Roman" w:hAnsi="Times New Roman" w:cs="Times New Roman"/>
          <w:sz w:val="24"/>
          <w:szCs w:val="24"/>
        </w:rPr>
        <w:t xml:space="preserve">een verplichting voor een ieder die daarvan kennis draagt, om aangifte te doen. Het gaat om misdrijven tegen de Staat, levensdelicten, mensenroof en verkrachting. </w:t>
      </w:r>
      <w:r w:rsidR="00275412" w:rsidRPr="00CB33AE">
        <w:rPr>
          <w:rFonts w:ascii="Times New Roman" w:hAnsi="Times New Roman" w:cs="Times New Roman"/>
          <w:sz w:val="24"/>
          <w:szCs w:val="24"/>
        </w:rPr>
        <w:t>Het niet-voldoe</w:t>
      </w:r>
      <w:r w:rsidR="00D949D2" w:rsidRPr="00CB33AE">
        <w:rPr>
          <w:rFonts w:ascii="Times New Roman" w:hAnsi="Times New Roman" w:cs="Times New Roman"/>
          <w:sz w:val="24"/>
          <w:szCs w:val="24"/>
        </w:rPr>
        <w:t xml:space="preserve">n aan deze aangifteplicht is een misdrijf op grond van de artikel </w:t>
      </w:r>
      <w:r w:rsidR="00275412" w:rsidRPr="00CB33AE">
        <w:rPr>
          <w:rFonts w:ascii="Times New Roman" w:hAnsi="Times New Roman" w:cs="Times New Roman"/>
          <w:sz w:val="24"/>
          <w:szCs w:val="24"/>
        </w:rPr>
        <w:t xml:space="preserve">136 Sr. </w:t>
      </w:r>
    </w:p>
    <w:p w:rsidR="00271328" w:rsidRPr="00CB33AE" w:rsidRDefault="00271328" w:rsidP="005817FC">
      <w:pPr>
        <w:pStyle w:val="NoSpacing"/>
        <w:rPr>
          <w:rFonts w:ascii="Times New Roman" w:hAnsi="Times New Roman" w:cs="Times New Roman"/>
          <w:sz w:val="24"/>
          <w:szCs w:val="24"/>
        </w:rPr>
      </w:pPr>
    </w:p>
    <w:p w:rsidR="00D949D2" w:rsidRPr="00CB33AE" w:rsidRDefault="005817FC" w:rsidP="005817FC">
      <w:pPr>
        <w:pStyle w:val="NoSpacing"/>
        <w:rPr>
          <w:rFonts w:ascii="Times New Roman" w:hAnsi="Times New Roman" w:cs="Times New Roman"/>
          <w:sz w:val="24"/>
          <w:szCs w:val="24"/>
        </w:rPr>
      </w:pPr>
      <w:r w:rsidRPr="00CB33AE">
        <w:rPr>
          <w:rFonts w:ascii="Times New Roman" w:hAnsi="Times New Roman" w:cs="Times New Roman"/>
          <w:sz w:val="24"/>
          <w:szCs w:val="24"/>
        </w:rPr>
        <w:t>Thans geldt de aangift</w:t>
      </w:r>
      <w:r w:rsidR="00346D44" w:rsidRPr="00CB33AE">
        <w:rPr>
          <w:rFonts w:ascii="Times New Roman" w:hAnsi="Times New Roman" w:cs="Times New Roman"/>
          <w:sz w:val="24"/>
          <w:szCs w:val="24"/>
        </w:rPr>
        <w:t>eplicht in artikel 160 Sv enkel voor daden van terrorisme, voor zover deze tevens een van de genoemde misdrijven opleveren</w:t>
      </w:r>
      <w:r w:rsidR="00D949D2" w:rsidRPr="00CB33AE">
        <w:rPr>
          <w:rFonts w:ascii="Times New Roman" w:hAnsi="Times New Roman" w:cs="Times New Roman"/>
          <w:sz w:val="24"/>
          <w:szCs w:val="24"/>
        </w:rPr>
        <w:t>; in het bijzonder wanneer door een terroristisch misdrijf levensgevaar wordt veroorzaakt</w:t>
      </w:r>
      <w:r w:rsidRPr="00CB33AE">
        <w:rPr>
          <w:rFonts w:ascii="Times New Roman" w:hAnsi="Times New Roman" w:cs="Times New Roman"/>
          <w:sz w:val="24"/>
          <w:szCs w:val="24"/>
        </w:rPr>
        <w:t xml:space="preserve">. </w:t>
      </w:r>
      <w:r w:rsidR="00D949D2" w:rsidRPr="00CB33AE">
        <w:rPr>
          <w:rFonts w:ascii="Times New Roman" w:hAnsi="Times New Roman" w:cs="Times New Roman"/>
          <w:sz w:val="24"/>
          <w:szCs w:val="24"/>
        </w:rPr>
        <w:t xml:space="preserve">Dit laatste is ook reeds expliciet vermeld in artikel 136 Sr. </w:t>
      </w:r>
    </w:p>
    <w:p w:rsidR="00D949D2" w:rsidRPr="00CB33AE" w:rsidRDefault="00D949D2" w:rsidP="005817FC">
      <w:pPr>
        <w:pStyle w:val="NoSpacing"/>
        <w:rPr>
          <w:rFonts w:ascii="Times New Roman" w:hAnsi="Times New Roman" w:cs="Times New Roman"/>
          <w:sz w:val="24"/>
          <w:szCs w:val="24"/>
        </w:rPr>
      </w:pPr>
    </w:p>
    <w:p w:rsidR="00BF746B" w:rsidRPr="00CB33AE" w:rsidRDefault="00346D44" w:rsidP="002B249C">
      <w:pPr>
        <w:pStyle w:val="NoSpacing"/>
        <w:rPr>
          <w:rFonts w:ascii="Times New Roman" w:hAnsi="Times New Roman" w:cs="Times New Roman"/>
          <w:sz w:val="24"/>
          <w:szCs w:val="24"/>
        </w:rPr>
      </w:pPr>
      <w:r w:rsidRPr="00CB33AE">
        <w:rPr>
          <w:rFonts w:ascii="Times New Roman" w:hAnsi="Times New Roman" w:cs="Times New Roman"/>
          <w:sz w:val="24"/>
          <w:szCs w:val="24"/>
        </w:rPr>
        <w:t xml:space="preserve">Het grote belang van een effectieve bestrijding van terrorisme, en de toegevoegde waarde van informatie over mogelijk op handen zijnde aanslagen of – de voorbereiding van – andere terroristische misdrijven, wordt voorgesteld de aangifteplicht te verruimen tot alle terroristische misdrijven </w:t>
      </w:r>
      <w:r w:rsidR="0002222F">
        <w:rPr>
          <w:rFonts w:ascii="Times New Roman" w:hAnsi="Times New Roman" w:cs="Times New Roman"/>
          <w:sz w:val="24"/>
          <w:szCs w:val="24"/>
        </w:rPr>
        <w:t>(artikel 83 Sr)</w:t>
      </w:r>
      <w:r w:rsidRPr="00CB33AE">
        <w:rPr>
          <w:rFonts w:ascii="Times New Roman" w:hAnsi="Times New Roman" w:cs="Times New Roman"/>
          <w:sz w:val="24"/>
          <w:szCs w:val="24"/>
        </w:rPr>
        <w:t xml:space="preserve">. </w:t>
      </w:r>
      <w:r w:rsidR="00AB74DF" w:rsidRPr="00CB33AE">
        <w:rPr>
          <w:rFonts w:ascii="Times New Roman" w:hAnsi="Times New Roman" w:cs="Times New Roman"/>
          <w:sz w:val="24"/>
          <w:szCs w:val="24"/>
        </w:rPr>
        <w:t>Met de aangifteplicht kan worden bewerkstelligd dat de daders van deze misdrijven hun straf niet ontlopen, terwijl door tijdige aangifte mogelijk ook het plegen van een terroristisch misdrijf nog kan worden</w:t>
      </w:r>
      <w:r w:rsidR="0030291F" w:rsidRPr="00CB33AE">
        <w:rPr>
          <w:rFonts w:ascii="Times New Roman" w:hAnsi="Times New Roman" w:cs="Times New Roman"/>
          <w:sz w:val="24"/>
          <w:szCs w:val="24"/>
        </w:rPr>
        <w:t xml:space="preserve"> voorkomen</w:t>
      </w:r>
      <w:r w:rsidR="00AB74DF" w:rsidRPr="00CB33AE">
        <w:rPr>
          <w:rFonts w:ascii="Times New Roman" w:hAnsi="Times New Roman" w:cs="Times New Roman"/>
          <w:sz w:val="24"/>
          <w:szCs w:val="24"/>
        </w:rPr>
        <w:t xml:space="preserve">. </w:t>
      </w:r>
      <w:r w:rsidR="008F0F7E" w:rsidRPr="00CB33AE">
        <w:rPr>
          <w:rFonts w:ascii="Times New Roman" w:hAnsi="Times New Roman" w:cs="Times New Roman"/>
          <w:sz w:val="24"/>
          <w:szCs w:val="24"/>
        </w:rPr>
        <w:t xml:space="preserve">Concreet betekent dit </w:t>
      </w:r>
      <w:r w:rsidRPr="00CB33AE">
        <w:rPr>
          <w:rFonts w:ascii="Times New Roman" w:hAnsi="Times New Roman" w:cs="Times New Roman"/>
          <w:sz w:val="24"/>
          <w:szCs w:val="24"/>
        </w:rPr>
        <w:t xml:space="preserve">bijvoorbeeld </w:t>
      </w:r>
      <w:r w:rsidR="008F0F7E" w:rsidRPr="00CB33AE">
        <w:rPr>
          <w:rFonts w:ascii="Times New Roman" w:hAnsi="Times New Roman" w:cs="Times New Roman"/>
          <w:sz w:val="24"/>
          <w:szCs w:val="24"/>
        </w:rPr>
        <w:t xml:space="preserve">ook dat iemand die wetenschap heeft van plannen van een ander om zich </w:t>
      </w:r>
      <w:r w:rsidR="00BF746B" w:rsidRPr="00CB33AE">
        <w:rPr>
          <w:rFonts w:ascii="Times New Roman" w:hAnsi="Times New Roman" w:cs="Times New Roman"/>
          <w:sz w:val="24"/>
          <w:szCs w:val="24"/>
        </w:rPr>
        <w:t xml:space="preserve">– al dan niet in het buitenland – </w:t>
      </w:r>
      <w:r w:rsidR="008F0F7E" w:rsidRPr="00CB33AE">
        <w:rPr>
          <w:rFonts w:ascii="Times New Roman" w:hAnsi="Times New Roman" w:cs="Times New Roman"/>
          <w:sz w:val="24"/>
          <w:szCs w:val="24"/>
        </w:rPr>
        <w:t xml:space="preserve">aan te sluiten bij een terroristische organisatie, </w:t>
      </w:r>
      <w:r w:rsidR="002B6A7C" w:rsidRPr="00CB33AE">
        <w:rPr>
          <w:rFonts w:ascii="Times New Roman" w:hAnsi="Times New Roman" w:cs="Times New Roman"/>
          <w:sz w:val="24"/>
          <w:szCs w:val="24"/>
        </w:rPr>
        <w:t xml:space="preserve">in het vervolg </w:t>
      </w:r>
      <w:r w:rsidR="008F0F7E" w:rsidRPr="00CB33AE">
        <w:rPr>
          <w:rFonts w:ascii="Times New Roman" w:hAnsi="Times New Roman" w:cs="Times New Roman"/>
          <w:sz w:val="24"/>
          <w:szCs w:val="24"/>
        </w:rPr>
        <w:t xml:space="preserve">de verplichting heeft om hiervan aangifte te doen bij de politie. </w:t>
      </w:r>
      <w:r w:rsidR="008430E8" w:rsidRPr="00CB33AE">
        <w:rPr>
          <w:rFonts w:ascii="Times New Roman" w:hAnsi="Times New Roman" w:cs="Times New Roman"/>
          <w:sz w:val="24"/>
          <w:szCs w:val="24"/>
        </w:rPr>
        <w:t xml:space="preserve">Met betrekking tot </w:t>
      </w:r>
      <w:r w:rsidR="00BF746B" w:rsidRPr="00CB33AE">
        <w:rPr>
          <w:rFonts w:ascii="Times New Roman" w:hAnsi="Times New Roman" w:cs="Times New Roman"/>
          <w:sz w:val="24"/>
          <w:szCs w:val="24"/>
        </w:rPr>
        <w:t>solistische aanslagplegers</w:t>
      </w:r>
      <w:r w:rsidR="009A12D3" w:rsidRPr="00CB33AE">
        <w:rPr>
          <w:rFonts w:ascii="Times New Roman" w:hAnsi="Times New Roman" w:cs="Times New Roman"/>
          <w:sz w:val="24"/>
          <w:szCs w:val="24"/>
        </w:rPr>
        <w:t xml:space="preserve"> biedt </w:t>
      </w:r>
      <w:r w:rsidR="008430E8" w:rsidRPr="00CB33AE">
        <w:rPr>
          <w:rFonts w:ascii="Times New Roman" w:hAnsi="Times New Roman" w:cs="Times New Roman"/>
          <w:sz w:val="24"/>
          <w:szCs w:val="24"/>
        </w:rPr>
        <w:t>actie van de omgeving vaak een van de weinige kansen om de voorbereiding van een aanslag tijdig te ontdekken.</w:t>
      </w:r>
    </w:p>
    <w:p w:rsidR="00DC47EF" w:rsidRPr="00CB33AE" w:rsidRDefault="00DC47EF" w:rsidP="002B249C">
      <w:pPr>
        <w:pStyle w:val="NoSpacing"/>
        <w:rPr>
          <w:rFonts w:ascii="Times New Roman" w:hAnsi="Times New Roman" w:cs="Times New Roman"/>
          <w:sz w:val="24"/>
          <w:szCs w:val="24"/>
        </w:rPr>
      </w:pPr>
    </w:p>
    <w:p w:rsidR="00506212" w:rsidRPr="00CB33AE" w:rsidRDefault="00826B0E" w:rsidP="00E0678B">
      <w:pPr>
        <w:pStyle w:val="NoSpacing"/>
        <w:rPr>
          <w:rFonts w:ascii="Times New Roman" w:hAnsi="Times New Roman" w:cs="Times New Roman"/>
          <w:sz w:val="24"/>
          <w:szCs w:val="24"/>
        </w:rPr>
      </w:pPr>
      <w:r w:rsidRPr="00CB33AE">
        <w:rPr>
          <w:rFonts w:ascii="Times New Roman" w:hAnsi="Times New Roman" w:cs="Times New Roman"/>
          <w:sz w:val="24"/>
          <w:szCs w:val="24"/>
        </w:rPr>
        <w:t xml:space="preserve">In verschillende adviezen werd </w:t>
      </w:r>
      <w:r w:rsidR="0072384E" w:rsidRPr="00CB33AE">
        <w:rPr>
          <w:rFonts w:ascii="Times New Roman" w:hAnsi="Times New Roman" w:cs="Times New Roman"/>
          <w:sz w:val="24"/>
          <w:szCs w:val="24"/>
        </w:rPr>
        <w:t xml:space="preserve">de vraag opgeworpen wanneer sprake is van kennis van een terroristisch misdrijf of misdrijf ter voorbereiding of vergemakkelijking van een terroristisch misdrijf. De </w:t>
      </w:r>
      <w:r w:rsidR="00DC47EF" w:rsidRPr="00CB33AE">
        <w:rPr>
          <w:rFonts w:ascii="Times New Roman" w:hAnsi="Times New Roman" w:cs="Times New Roman"/>
          <w:sz w:val="24"/>
          <w:szCs w:val="24"/>
        </w:rPr>
        <w:t>NOvA stelde</w:t>
      </w:r>
      <w:r w:rsidR="0072384E" w:rsidRPr="00CB33AE">
        <w:rPr>
          <w:rFonts w:ascii="Times New Roman" w:hAnsi="Times New Roman" w:cs="Times New Roman"/>
          <w:sz w:val="24"/>
          <w:szCs w:val="24"/>
        </w:rPr>
        <w:t xml:space="preserve"> de vra</w:t>
      </w:r>
      <w:r w:rsidR="0072384E" w:rsidRPr="00A20DC6">
        <w:rPr>
          <w:rFonts w:ascii="Times New Roman" w:hAnsi="Times New Roman" w:cs="Times New Roman"/>
          <w:sz w:val="24"/>
          <w:szCs w:val="24"/>
        </w:rPr>
        <w:t>ag of een bankmedewerker nader onderzoek moet instellen naar betalingen aan een persoon in Syrië. Daarop ziet artikel 160 Sv niet: het gaat om de verplichting voor degene die kennis heeft van een misdrijf, hiervan aangifte te doen. De bepaling behelst geen verplichting tot het instellen van onderzoek teneinde met de uitkomsten daarvan vast te stellen of wellicht aangifte moet worden gedaan. In die zin is de strekking van de voorgeste</w:t>
      </w:r>
      <w:r w:rsidR="00A82546" w:rsidRPr="00A20DC6">
        <w:rPr>
          <w:rFonts w:ascii="Times New Roman" w:hAnsi="Times New Roman" w:cs="Times New Roman"/>
          <w:sz w:val="24"/>
          <w:szCs w:val="24"/>
        </w:rPr>
        <w:t xml:space="preserve">lde bepaling beperkt, maar </w:t>
      </w:r>
      <w:r w:rsidR="0072384E" w:rsidRPr="00A20DC6">
        <w:rPr>
          <w:rFonts w:ascii="Times New Roman" w:hAnsi="Times New Roman" w:cs="Times New Roman"/>
          <w:sz w:val="24"/>
          <w:szCs w:val="24"/>
        </w:rPr>
        <w:t xml:space="preserve">ziet </w:t>
      </w:r>
      <w:r w:rsidR="00A82546" w:rsidRPr="00A20DC6">
        <w:rPr>
          <w:rFonts w:ascii="Times New Roman" w:hAnsi="Times New Roman" w:cs="Times New Roman"/>
          <w:sz w:val="24"/>
          <w:szCs w:val="24"/>
        </w:rPr>
        <w:t xml:space="preserve">zij </w:t>
      </w:r>
      <w:r w:rsidR="0072384E" w:rsidRPr="00A20DC6">
        <w:rPr>
          <w:rFonts w:ascii="Times New Roman" w:hAnsi="Times New Roman" w:cs="Times New Roman"/>
          <w:sz w:val="24"/>
          <w:szCs w:val="24"/>
        </w:rPr>
        <w:t xml:space="preserve">desalniettemin precies op wat in de praktijk van </w:t>
      </w:r>
      <w:r w:rsidR="00A82546" w:rsidRPr="00A20DC6">
        <w:rPr>
          <w:rFonts w:ascii="Times New Roman" w:hAnsi="Times New Roman" w:cs="Times New Roman"/>
          <w:sz w:val="24"/>
          <w:szCs w:val="24"/>
        </w:rPr>
        <w:t xml:space="preserve">de </w:t>
      </w:r>
      <w:r w:rsidR="0072384E" w:rsidRPr="00A20DC6">
        <w:rPr>
          <w:rFonts w:ascii="Times New Roman" w:hAnsi="Times New Roman" w:cs="Times New Roman"/>
          <w:sz w:val="24"/>
          <w:szCs w:val="24"/>
        </w:rPr>
        <w:t>opsporing van</w:t>
      </w:r>
      <w:r w:rsidR="00506212" w:rsidRPr="00A20DC6">
        <w:rPr>
          <w:rFonts w:ascii="Times New Roman" w:hAnsi="Times New Roman" w:cs="Times New Roman"/>
          <w:sz w:val="24"/>
          <w:szCs w:val="24"/>
        </w:rPr>
        <w:t xml:space="preserve"> grote waarde wordt geacht</w:t>
      </w:r>
      <w:r w:rsidR="0072384E" w:rsidRPr="00A20DC6">
        <w:rPr>
          <w:rFonts w:ascii="Times New Roman" w:hAnsi="Times New Roman" w:cs="Times New Roman"/>
          <w:sz w:val="24"/>
          <w:szCs w:val="24"/>
        </w:rPr>
        <w:t>: het gaat er specifiek om dat mensen in de o</w:t>
      </w:r>
      <w:r w:rsidR="00A82546" w:rsidRPr="00A20DC6">
        <w:rPr>
          <w:rFonts w:ascii="Times New Roman" w:hAnsi="Times New Roman" w:cs="Times New Roman"/>
          <w:sz w:val="24"/>
          <w:szCs w:val="24"/>
        </w:rPr>
        <w:t>mgeving van de verdachte</w:t>
      </w:r>
      <w:r w:rsidR="0072384E" w:rsidRPr="00A20DC6">
        <w:rPr>
          <w:rFonts w:ascii="Times New Roman" w:hAnsi="Times New Roman" w:cs="Times New Roman"/>
          <w:sz w:val="24"/>
          <w:szCs w:val="24"/>
        </w:rPr>
        <w:t xml:space="preserve"> </w:t>
      </w:r>
      <w:r w:rsidR="00506212" w:rsidRPr="00A20DC6">
        <w:rPr>
          <w:rFonts w:ascii="Times New Roman" w:hAnsi="Times New Roman" w:cs="Times New Roman"/>
          <w:sz w:val="24"/>
          <w:szCs w:val="24"/>
        </w:rPr>
        <w:t>extra worden aangespoord</w:t>
      </w:r>
      <w:r w:rsidR="0072384E" w:rsidRPr="00A20DC6">
        <w:rPr>
          <w:rFonts w:ascii="Times New Roman" w:hAnsi="Times New Roman" w:cs="Times New Roman"/>
          <w:sz w:val="24"/>
          <w:szCs w:val="24"/>
        </w:rPr>
        <w:t xml:space="preserve"> om de concrete informatie die zij vaak hebben over de </w:t>
      </w:r>
      <w:r w:rsidR="0072384E" w:rsidRPr="00CB33AE">
        <w:rPr>
          <w:rFonts w:ascii="Times New Roman" w:hAnsi="Times New Roman" w:cs="Times New Roman"/>
          <w:sz w:val="24"/>
          <w:szCs w:val="24"/>
        </w:rPr>
        <w:t>voorbereiding van terroristische misdrijven</w:t>
      </w:r>
      <w:r w:rsidR="00506212" w:rsidRPr="00CB33AE">
        <w:rPr>
          <w:rFonts w:ascii="Times New Roman" w:hAnsi="Times New Roman" w:cs="Times New Roman"/>
          <w:sz w:val="24"/>
          <w:szCs w:val="24"/>
        </w:rPr>
        <w:t xml:space="preserve"> aan politie en openbaar ministerie te geven. De beperkte strekking van de bepaling leidt ertoe dat niet wordt verwacht dat na invoering van het gewijzigde artikel 160 Sv een enorme stroom van onbruikbare informatie en onterechte aangiften zal ontstaan. </w:t>
      </w:r>
    </w:p>
    <w:p w:rsidR="00F87624" w:rsidRPr="00CB33AE" w:rsidRDefault="00F87624" w:rsidP="00F87624">
      <w:pPr>
        <w:pStyle w:val="NoSpacing"/>
        <w:rPr>
          <w:rFonts w:ascii="Times New Roman" w:hAnsi="Times New Roman" w:cs="Times New Roman"/>
          <w:sz w:val="24"/>
          <w:szCs w:val="24"/>
        </w:rPr>
      </w:pPr>
    </w:p>
    <w:p w:rsidR="00470142" w:rsidRPr="00CB33AE" w:rsidRDefault="00F87624" w:rsidP="00F87624">
      <w:pPr>
        <w:pStyle w:val="NoSpacing"/>
        <w:rPr>
          <w:rFonts w:ascii="Times New Roman" w:hAnsi="Times New Roman" w:cs="Times New Roman"/>
          <w:sz w:val="24"/>
          <w:szCs w:val="24"/>
        </w:rPr>
      </w:pPr>
      <w:r w:rsidRPr="00CB33AE">
        <w:rPr>
          <w:rFonts w:ascii="Times New Roman" w:hAnsi="Times New Roman" w:cs="Times New Roman"/>
          <w:sz w:val="24"/>
          <w:szCs w:val="24"/>
        </w:rPr>
        <w:t xml:space="preserve">Artikel 160 Sv is, op grond van het bestaande tweede lid, niet van toepassing op degene die door aangifte gevaar loopt zelf vervolgd te worden. </w:t>
      </w:r>
      <w:r w:rsidR="006428D1" w:rsidRPr="00CB33AE">
        <w:rPr>
          <w:rFonts w:ascii="Times New Roman" w:hAnsi="Times New Roman" w:cs="Times New Roman"/>
          <w:sz w:val="24"/>
          <w:szCs w:val="24"/>
        </w:rPr>
        <w:t xml:space="preserve">Ditzelfde geldt indien de aangifte betrekking zou hebben op iemand bij wiens vervolging de aangever zich zou kunnen verschonen van het afleggen van een getuigenis wegens </w:t>
      </w:r>
      <w:r w:rsidRPr="00CB33AE">
        <w:rPr>
          <w:rFonts w:ascii="Times New Roman" w:hAnsi="Times New Roman" w:cs="Times New Roman"/>
          <w:sz w:val="24"/>
          <w:szCs w:val="24"/>
        </w:rPr>
        <w:t>een familieband (verwanten in de eerste lijn), huwelijk of geregistreerd partnerschap</w:t>
      </w:r>
      <w:r w:rsidR="006428D1" w:rsidRPr="00CB33AE">
        <w:rPr>
          <w:rFonts w:ascii="Times New Roman" w:hAnsi="Times New Roman" w:cs="Times New Roman"/>
          <w:sz w:val="24"/>
          <w:szCs w:val="24"/>
        </w:rPr>
        <w:t xml:space="preserve">, of wegens </w:t>
      </w:r>
      <w:r w:rsidRPr="00CB33AE">
        <w:rPr>
          <w:rFonts w:ascii="Times New Roman" w:hAnsi="Times New Roman" w:cs="Times New Roman"/>
          <w:sz w:val="24"/>
          <w:szCs w:val="24"/>
        </w:rPr>
        <w:t xml:space="preserve">een geheimhoudingsplicht </w:t>
      </w:r>
      <w:r w:rsidR="006428D1" w:rsidRPr="00CB33AE">
        <w:rPr>
          <w:rFonts w:ascii="Times New Roman" w:hAnsi="Times New Roman" w:cs="Times New Roman"/>
          <w:sz w:val="24"/>
          <w:szCs w:val="24"/>
        </w:rPr>
        <w:t xml:space="preserve">die op hem rust </w:t>
      </w:r>
      <w:r w:rsidRPr="00CB33AE">
        <w:rPr>
          <w:rFonts w:ascii="Times New Roman" w:hAnsi="Times New Roman" w:cs="Times New Roman"/>
          <w:sz w:val="24"/>
          <w:szCs w:val="24"/>
        </w:rPr>
        <w:t xml:space="preserve">uit hoofde van een beroep of ambt (onder andere advocaten, artsen en geestelijken). </w:t>
      </w:r>
    </w:p>
    <w:p w:rsidR="00DC47EF" w:rsidRPr="00A20DC6" w:rsidRDefault="00DC47EF" w:rsidP="00ED7853">
      <w:pPr>
        <w:pStyle w:val="NoSpacing"/>
        <w:rPr>
          <w:rFonts w:ascii="Times New Roman" w:hAnsi="Times New Roman" w:cs="Times New Roman"/>
          <w:b/>
          <w:bCs/>
          <w:sz w:val="24"/>
          <w:szCs w:val="24"/>
        </w:rPr>
      </w:pPr>
    </w:p>
    <w:p w:rsidR="00F3334B" w:rsidRPr="00A20DC6" w:rsidRDefault="00F3334B" w:rsidP="00ED7853">
      <w:pPr>
        <w:pStyle w:val="NoSpacing"/>
        <w:rPr>
          <w:rFonts w:ascii="Times New Roman" w:hAnsi="Times New Roman" w:cs="Times New Roman"/>
          <w:b/>
          <w:bCs/>
          <w:sz w:val="24"/>
          <w:szCs w:val="24"/>
        </w:rPr>
      </w:pPr>
      <w:r w:rsidRPr="00A20DC6">
        <w:rPr>
          <w:rFonts w:ascii="Times New Roman" w:hAnsi="Times New Roman" w:cs="Times New Roman"/>
          <w:b/>
          <w:bCs/>
          <w:sz w:val="24"/>
          <w:szCs w:val="24"/>
        </w:rPr>
        <w:t>5.</w:t>
      </w:r>
      <w:r w:rsidRPr="00A20DC6">
        <w:rPr>
          <w:rFonts w:ascii="Times New Roman" w:hAnsi="Times New Roman" w:cs="Times New Roman"/>
          <w:b/>
          <w:bCs/>
          <w:sz w:val="24"/>
          <w:szCs w:val="24"/>
        </w:rPr>
        <w:tab/>
        <w:t>Financiële paragraaf</w:t>
      </w:r>
    </w:p>
    <w:p w:rsidR="00F3334B" w:rsidRPr="00A20DC6" w:rsidRDefault="00F3334B" w:rsidP="00ED7853">
      <w:pPr>
        <w:pStyle w:val="NoSpacing"/>
        <w:rPr>
          <w:rFonts w:ascii="Times New Roman" w:hAnsi="Times New Roman" w:cs="Times New Roman"/>
          <w:b/>
          <w:bCs/>
          <w:sz w:val="24"/>
          <w:szCs w:val="24"/>
        </w:rPr>
      </w:pPr>
    </w:p>
    <w:p w:rsidR="00F3334B" w:rsidRPr="00A20DC6" w:rsidRDefault="00F3334B" w:rsidP="004D4477">
      <w:pPr>
        <w:pStyle w:val="NoSpacing"/>
        <w:rPr>
          <w:rFonts w:ascii="Times New Roman" w:hAnsi="Times New Roman" w:cs="Times New Roman"/>
          <w:sz w:val="24"/>
          <w:szCs w:val="24"/>
        </w:rPr>
      </w:pPr>
      <w:r w:rsidRPr="00A20DC6">
        <w:rPr>
          <w:rFonts w:ascii="Times New Roman" w:hAnsi="Times New Roman" w:cs="Times New Roman"/>
          <w:sz w:val="24"/>
          <w:szCs w:val="24"/>
        </w:rPr>
        <w:t>De meeste onderdelen van het wet</w:t>
      </w:r>
      <w:r w:rsidR="004D4477" w:rsidRPr="00A20DC6">
        <w:rPr>
          <w:rFonts w:ascii="Times New Roman" w:hAnsi="Times New Roman" w:cs="Times New Roman"/>
          <w:sz w:val="24"/>
          <w:szCs w:val="24"/>
        </w:rPr>
        <w:t xml:space="preserve">svoorstel hebben geen </w:t>
      </w:r>
      <w:r w:rsidRPr="00A20DC6">
        <w:rPr>
          <w:rFonts w:ascii="Times New Roman" w:hAnsi="Times New Roman" w:cs="Times New Roman"/>
          <w:sz w:val="24"/>
          <w:szCs w:val="24"/>
        </w:rPr>
        <w:t>financiële consequen</w:t>
      </w:r>
      <w:r w:rsidR="004D4477" w:rsidRPr="00A20DC6">
        <w:rPr>
          <w:rFonts w:ascii="Times New Roman" w:hAnsi="Times New Roman" w:cs="Times New Roman"/>
          <w:sz w:val="24"/>
          <w:szCs w:val="24"/>
        </w:rPr>
        <w:t>ties. Met het voorstel wordt immers geen verandering in</w:t>
      </w:r>
      <w:r w:rsidRPr="00A20DC6">
        <w:rPr>
          <w:rFonts w:ascii="Times New Roman" w:hAnsi="Times New Roman" w:cs="Times New Roman"/>
          <w:sz w:val="24"/>
          <w:szCs w:val="24"/>
        </w:rPr>
        <w:t xml:space="preserve"> de bestrijding van terrorisme voorgestaan</w:t>
      </w:r>
      <w:r w:rsidR="005430A7" w:rsidRPr="00A20DC6">
        <w:rPr>
          <w:rFonts w:ascii="Times New Roman" w:hAnsi="Times New Roman" w:cs="Times New Roman"/>
          <w:sz w:val="24"/>
          <w:szCs w:val="24"/>
        </w:rPr>
        <w:t xml:space="preserve"> – die </w:t>
      </w:r>
      <w:r w:rsidR="00DF3D6E" w:rsidRPr="00A20DC6">
        <w:rPr>
          <w:rFonts w:ascii="Times New Roman" w:hAnsi="Times New Roman" w:cs="Times New Roman"/>
          <w:sz w:val="24"/>
          <w:szCs w:val="24"/>
        </w:rPr>
        <w:t>bestrijding is onverminderd</w:t>
      </w:r>
      <w:r w:rsidR="004D4477" w:rsidRPr="00A20DC6">
        <w:rPr>
          <w:rFonts w:ascii="Times New Roman" w:hAnsi="Times New Roman" w:cs="Times New Roman"/>
          <w:sz w:val="24"/>
          <w:szCs w:val="24"/>
        </w:rPr>
        <w:t xml:space="preserve"> intensief. Het wetsvoorstel wil in dit verband </w:t>
      </w:r>
      <w:r w:rsidR="00DF3D6E" w:rsidRPr="00A20DC6">
        <w:rPr>
          <w:rFonts w:ascii="Times New Roman" w:hAnsi="Times New Roman" w:cs="Times New Roman"/>
          <w:sz w:val="24"/>
          <w:szCs w:val="24"/>
        </w:rPr>
        <w:t xml:space="preserve">enkel </w:t>
      </w:r>
      <w:r w:rsidR="004D4477" w:rsidRPr="00A20DC6">
        <w:rPr>
          <w:rFonts w:ascii="Times New Roman" w:hAnsi="Times New Roman" w:cs="Times New Roman"/>
          <w:sz w:val="24"/>
          <w:szCs w:val="24"/>
        </w:rPr>
        <w:t xml:space="preserve">een </w:t>
      </w:r>
      <w:r w:rsidRPr="00A20DC6">
        <w:rPr>
          <w:rFonts w:ascii="Times New Roman" w:hAnsi="Times New Roman" w:cs="Times New Roman"/>
          <w:sz w:val="24"/>
          <w:szCs w:val="24"/>
        </w:rPr>
        <w:t xml:space="preserve">aanvulling van het beschikbare instrumentarium </w:t>
      </w:r>
      <w:r w:rsidR="004D4477" w:rsidRPr="00A20DC6">
        <w:rPr>
          <w:rFonts w:ascii="Times New Roman" w:hAnsi="Times New Roman" w:cs="Times New Roman"/>
          <w:sz w:val="24"/>
          <w:szCs w:val="24"/>
        </w:rPr>
        <w:t xml:space="preserve">bieden teneinde </w:t>
      </w:r>
      <w:r w:rsidRPr="00A20DC6">
        <w:rPr>
          <w:rFonts w:ascii="Times New Roman" w:hAnsi="Times New Roman" w:cs="Times New Roman"/>
          <w:sz w:val="24"/>
          <w:szCs w:val="24"/>
        </w:rPr>
        <w:t>de effectiviteit</w:t>
      </w:r>
      <w:r w:rsidR="004D4477" w:rsidRPr="00A20DC6">
        <w:rPr>
          <w:rFonts w:ascii="Times New Roman" w:hAnsi="Times New Roman" w:cs="Times New Roman"/>
          <w:sz w:val="24"/>
          <w:szCs w:val="24"/>
        </w:rPr>
        <w:t xml:space="preserve"> van de bestrijding </w:t>
      </w:r>
      <w:r w:rsidR="00EC3783" w:rsidRPr="00A20DC6">
        <w:rPr>
          <w:rFonts w:ascii="Times New Roman" w:hAnsi="Times New Roman" w:cs="Times New Roman"/>
          <w:sz w:val="24"/>
          <w:szCs w:val="24"/>
        </w:rPr>
        <w:t xml:space="preserve">van terrorisme </w:t>
      </w:r>
      <w:r w:rsidR="00DF3D6E" w:rsidRPr="00A20DC6">
        <w:rPr>
          <w:rFonts w:ascii="Times New Roman" w:hAnsi="Times New Roman" w:cs="Times New Roman"/>
          <w:sz w:val="24"/>
          <w:szCs w:val="24"/>
        </w:rPr>
        <w:t xml:space="preserve">zoveel mogelijk </w:t>
      </w:r>
      <w:r w:rsidR="004D4477" w:rsidRPr="00A20DC6">
        <w:rPr>
          <w:rFonts w:ascii="Times New Roman" w:hAnsi="Times New Roman" w:cs="Times New Roman"/>
          <w:sz w:val="24"/>
          <w:szCs w:val="24"/>
        </w:rPr>
        <w:t>te waarborgen</w:t>
      </w:r>
      <w:r w:rsidRPr="00A20DC6">
        <w:rPr>
          <w:rFonts w:ascii="Times New Roman" w:hAnsi="Times New Roman" w:cs="Times New Roman"/>
          <w:sz w:val="24"/>
          <w:szCs w:val="24"/>
        </w:rPr>
        <w:t xml:space="preserve">. </w:t>
      </w:r>
      <w:r w:rsidR="002020A5" w:rsidRPr="00A20DC6">
        <w:rPr>
          <w:rFonts w:ascii="Times New Roman" w:hAnsi="Times New Roman" w:cs="Times New Roman"/>
          <w:sz w:val="24"/>
          <w:szCs w:val="24"/>
        </w:rPr>
        <w:t xml:space="preserve">In de </w:t>
      </w:r>
      <w:r w:rsidR="004D4477" w:rsidRPr="00A20DC6">
        <w:rPr>
          <w:rFonts w:ascii="Times New Roman" w:hAnsi="Times New Roman" w:cs="Times New Roman"/>
          <w:sz w:val="24"/>
          <w:szCs w:val="24"/>
        </w:rPr>
        <w:t xml:space="preserve">ontvangen </w:t>
      </w:r>
      <w:r w:rsidR="002020A5" w:rsidRPr="00A20DC6">
        <w:rPr>
          <w:rFonts w:ascii="Times New Roman" w:hAnsi="Times New Roman" w:cs="Times New Roman"/>
          <w:sz w:val="24"/>
          <w:szCs w:val="24"/>
        </w:rPr>
        <w:t>advie</w:t>
      </w:r>
      <w:r w:rsidR="004D4477" w:rsidRPr="00A20DC6">
        <w:rPr>
          <w:rFonts w:ascii="Times New Roman" w:hAnsi="Times New Roman" w:cs="Times New Roman"/>
          <w:sz w:val="24"/>
          <w:szCs w:val="24"/>
        </w:rPr>
        <w:t>zen voorzagen</w:t>
      </w:r>
      <w:r w:rsidR="002020A5" w:rsidRPr="00A20DC6">
        <w:rPr>
          <w:rFonts w:ascii="Times New Roman" w:hAnsi="Times New Roman" w:cs="Times New Roman"/>
          <w:sz w:val="24"/>
          <w:szCs w:val="24"/>
        </w:rPr>
        <w:t xml:space="preserve"> </w:t>
      </w:r>
      <w:r w:rsidR="004D4477" w:rsidRPr="00A20DC6">
        <w:rPr>
          <w:rFonts w:ascii="Times New Roman" w:hAnsi="Times New Roman" w:cs="Times New Roman"/>
          <w:sz w:val="24"/>
          <w:szCs w:val="24"/>
        </w:rPr>
        <w:t xml:space="preserve">de organen die betrokken zijn bij de uitvoering van het wetsvoorstel dan ook geen capacitaire en budgettaire gevolgen. </w:t>
      </w:r>
    </w:p>
    <w:p w:rsidR="00F3334B" w:rsidRDefault="00F3334B" w:rsidP="00ED7853">
      <w:pPr>
        <w:pStyle w:val="NoSpacing"/>
        <w:rPr>
          <w:rFonts w:ascii="Times New Roman" w:hAnsi="Times New Roman" w:cs="Times New Roman"/>
          <w:sz w:val="24"/>
          <w:szCs w:val="24"/>
        </w:rPr>
      </w:pPr>
    </w:p>
    <w:p w:rsidR="0002222F" w:rsidRPr="00A20DC6" w:rsidRDefault="0002222F" w:rsidP="00ED7853">
      <w:pPr>
        <w:pStyle w:val="NoSpacing"/>
        <w:rPr>
          <w:rFonts w:ascii="Times New Roman" w:hAnsi="Times New Roman" w:cs="Times New Roman"/>
          <w:b/>
          <w:bCs/>
          <w:sz w:val="24"/>
          <w:szCs w:val="24"/>
        </w:rPr>
      </w:pPr>
    </w:p>
    <w:p w:rsidR="00FA0E02" w:rsidRPr="00A20DC6" w:rsidRDefault="00372713" w:rsidP="00ED7853">
      <w:pPr>
        <w:pStyle w:val="NoSpacing"/>
        <w:rPr>
          <w:rFonts w:ascii="Times New Roman" w:hAnsi="Times New Roman" w:cs="Times New Roman"/>
          <w:b/>
          <w:sz w:val="24"/>
          <w:szCs w:val="24"/>
        </w:rPr>
      </w:pPr>
      <w:r w:rsidRPr="00A20DC6">
        <w:rPr>
          <w:rFonts w:ascii="Times New Roman" w:hAnsi="Times New Roman" w:cs="Times New Roman"/>
          <w:b/>
          <w:sz w:val="24"/>
          <w:szCs w:val="24"/>
        </w:rPr>
        <w:t>II.</w:t>
      </w:r>
      <w:r w:rsidRPr="00A20DC6">
        <w:rPr>
          <w:rFonts w:ascii="Times New Roman" w:hAnsi="Times New Roman" w:cs="Times New Roman"/>
          <w:b/>
          <w:sz w:val="24"/>
          <w:szCs w:val="24"/>
        </w:rPr>
        <w:tab/>
        <w:t>Artikelsgewijze toelichting</w:t>
      </w:r>
    </w:p>
    <w:p w:rsidR="00372713" w:rsidRPr="00A20DC6" w:rsidRDefault="00372713">
      <w:pPr>
        <w:pStyle w:val="NoSpacing"/>
        <w:rPr>
          <w:rFonts w:ascii="Times New Roman" w:hAnsi="Times New Roman" w:cs="Times New Roman"/>
          <w:b/>
          <w:sz w:val="24"/>
          <w:szCs w:val="24"/>
        </w:rPr>
      </w:pPr>
    </w:p>
    <w:p w:rsidR="00271328" w:rsidRPr="00A20DC6" w:rsidRDefault="00271328">
      <w:pPr>
        <w:pStyle w:val="NoSpacing"/>
        <w:rPr>
          <w:rFonts w:ascii="Times New Roman" w:hAnsi="Times New Roman" w:cs="Times New Roman"/>
          <w:bCs/>
          <w:sz w:val="24"/>
          <w:szCs w:val="24"/>
        </w:rPr>
      </w:pPr>
      <w:r w:rsidRPr="00A20DC6">
        <w:rPr>
          <w:rFonts w:ascii="Times New Roman" w:hAnsi="Times New Roman" w:cs="Times New Roman"/>
          <w:bCs/>
          <w:sz w:val="24"/>
          <w:szCs w:val="24"/>
        </w:rPr>
        <w:t>ARTIKEL I</w:t>
      </w:r>
    </w:p>
    <w:p w:rsidR="00271328" w:rsidRPr="00A20DC6" w:rsidRDefault="00271328">
      <w:pPr>
        <w:pStyle w:val="NoSpacing"/>
        <w:rPr>
          <w:rFonts w:ascii="Times New Roman" w:hAnsi="Times New Roman" w:cs="Times New Roman"/>
          <w:bCs/>
          <w:sz w:val="24"/>
          <w:szCs w:val="24"/>
        </w:rPr>
      </w:pPr>
    </w:p>
    <w:p w:rsidR="00271328" w:rsidRPr="00A20DC6" w:rsidRDefault="007A7989">
      <w:pPr>
        <w:pStyle w:val="NoSpacing"/>
        <w:rPr>
          <w:rFonts w:ascii="Times New Roman" w:hAnsi="Times New Roman" w:cs="Times New Roman"/>
          <w:bCs/>
          <w:i/>
          <w:iCs/>
          <w:sz w:val="24"/>
          <w:szCs w:val="24"/>
        </w:rPr>
      </w:pPr>
      <w:r>
        <w:rPr>
          <w:rFonts w:ascii="Times New Roman" w:hAnsi="Times New Roman" w:cs="Times New Roman"/>
          <w:bCs/>
          <w:i/>
          <w:iCs/>
          <w:sz w:val="24"/>
          <w:szCs w:val="24"/>
        </w:rPr>
        <w:t>Onderde</w:t>
      </w:r>
      <w:r w:rsidR="00271328" w:rsidRPr="00A20DC6">
        <w:rPr>
          <w:rFonts w:ascii="Times New Roman" w:hAnsi="Times New Roman" w:cs="Times New Roman"/>
          <w:bCs/>
          <w:i/>
          <w:iCs/>
          <w:sz w:val="24"/>
          <w:szCs w:val="24"/>
        </w:rPr>
        <w:t>l</w:t>
      </w:r>
      <w:r>
        <w:rPr>
          <w:rFonts w:ascii="Times New Roman" w:hAnsi="Times New Roman" w:cs="Times New Roman"/>
          <w:bCs/>
          <w:i/>
          <w:iCs/>
          <w:sz w:val="24"/>
          <w:szCs w:val="24"/>
        </w:rPr>
        <w:t>en</w:t>
      </w:r>
      <w:r w:rsidR="00271328" w:rsidRPr="00A20DC6">
        <w:rPr>
          <w:rFonts w:ascii="Times New Roman" w:hAnsi="Times New Roman" w:cs="Times New Roman"/>
          <w:bCs/>
          <w:i/>
          <w:iCs/>
          <w:sz w:val="24"/>
          <w:szCs w:val="24"/>
        </w:rPr>
        <w:t xml:space="preserve"> A</w:t>
      </w:r>
      <w:r>
        <w:rPr>
          <w:rFonts w:ascii="Times New Roman" w:hAnsi="Times New Roman" w:cs="Times New Roman"/>
          <w:bCs/>
          <w:i/>
          <w:iCs/>
          <w:sz w:val="24"/>
          <w:szCs w:val="24"/>
        </w:rPr>
        <w:t xml:space="preserve"> en M</w:t>
      </w:r>
      <w:r w:rsidR="00271328" w:rsidRPr="00A20DC6">
        <w:rPr>
          <w:rFonts w:ascii="Times New Roman" w:hAnsi="Times New Roman" w:cs="Times New Roman"/>
          <w:bCs/>
          <w:i/>
          <w:iCs/>
          <w:sz w:val="24"/>
          <w:szCs w:val="24"/>
        </w:rPr>
        <w:t xml:space="preserve"> </w:t>
      </w:r>
    </w:p>
    <w:p w:rsidR="00B10441" w:rsidRPr="00A20DC6" w:rsidRDefault="00B10441">
      <w:pPr>
        <w:pStyle w:val="NoSpacing"/>
        <w:rPr>
          <w:rFonts w:ascii="Times New Roman" w:hAnsi="Times New Roman" w:cs="Times New Roman"/>
          <w:bCs/>
          <w:iCs/>
          <w:sz w:val="24"/>
          <w:szCs w:val="24"/>
          <w:highlight w:val="yellow"/>
        </w:rPr>
      </w:pPr>
    </w:p>
    <w:p w:rsidR="00EB2A69" w:rsidRPr="00A20DC6" w:rsidRDefault="00541318" w:rsidP="006B2CAB">
      <w:pPr>
        <w:pStyle w:val="NoSpacing"/>
        <w:rPr>
          <w:rFonts w:ascii="Times New Roman" w:hAnsi="Times New Roman" w:cs="Times New Roman"/>
          <w:bCs/>
          <w:sz w:val="24"/>
          <w:szCs w:val="24"/>
        </w:rPr>
      </w:pPr>
      <w:r w:rsidRPr="00A20DC6">
        <w:rPr>
          <w:rFonts w:ascii="Times New Roman" w:hAnsi="Times New Roman" w:cs="Times New Roman"/>
          <w:bCs/>
          <w:iCs/>
          <w:sz w:val="24"/>
          <w:szCs w:val="24"/>
        </w:rPr>
        <w:t xml:space="preserve">Bij Wet van 22 april 2015 tot implementatie van de richtlijn 2013/40/EU van het Europees Parlement en de Raad over aanvallen op informatiesystemen en ter vervanging van Kaderbesluit 2005/222/JBZ van de Raad (PbEU L 218/8) </w:t>
      </w:r>
      <w:r w:rsidR="00A76BFC" w:rsidRPr="00A20DC6">
        <w:rPr>
          <w:rFonts w:ascii="Times New Roman" w:hAnsi="Times New Roman" w:cs="Times New Roman"/>
          <w:bCs/>
          <w:sz w:val="24"/>
          <w:szCs w:val="24"/>
        </w:rPr>
        <w:t xml:space="preserve">(Stb. 2015, 165) is </w:t>
      </w:r>
      <w:r w:rsidRPr="00A20DC6">
        <w:rPr>
          <w:rFonts w:ascii="Times New Roman" w:hAnsi="Times New Roman" w:cs="Times New Roman"/>
          <w:bCs/>
          <w:sz w:val="24"/>
          <w:szCs w:val="24"/>
        </w:rPr>
        <w:t xml:space="preserve">een aantal strafbaarstellingen op het terrein van cybercriminaliteit gewijzigd. Zo is artikel </w:t>
      </w:r>
      <w:r w:rsidR="00A76BFC" w:rsidRPr="00A20DC6">
        <w:rPr>
          <w:rFonts w:ascii="Times New Roman" w:hAnsi="Times New Roman" w:cs="Times New Roman"/>
          <w:bCs/>
          <w:sz w:val="24"/>
          <w:szCs w:val="24"/>
        </w:rPr>
        <w:t>161sexies</w:t>
      </w:r>
      <w:r w:rsidR="001D7B52" w:rsidRPr="00A20DC6">
        <w:rPr>
          <w:rFonts w:ascii="Times New Roman" w:hAnsi="Times New Roman" w:cs="Times New Roman"/>
          <w:bCs/>
          <w:sz w:val="24"/>
          <w:szCs w:val="24"/>
        </w:rPr>
        <w:t>, onderdeel 1º</w:t>
      </w:r>
      <w:r w:rsidRPr="00A20DC6">
        <w:rPr>
          <w:rFonts w:ascii="Times New Roman" w:hAnsi="Times New Roman" w:cs="Times New Roman"/>
          <w:bCs/>
          <w:sz w:val="24"/>
          <w:szCs w:val="24"/>
        </w:rPr>
        <w:t>, Sr</w:t>
      </w:r>
      <w:r w:rsidR="00A76BFC" w:rsidRPr="00A20DC6">
        <w:rPr>
          <w:rFonts w:ascii="Times New Roman" w:hAnsi="Times New Roman" w:cs="Times New Roman"/>
          <w:bCs/>
          <w:sz w:val="24"/>
          <w:szCs w:val="24"/>
        </w:rPr>
        <w:t xml:space="preserve"> verplaatst naar een nieuw artikel 350c Sr</w:t>
      </w:r>
      <w:r w:rsidR="00A229B3" w:rsidRPr="00A20DC6">
        <w:rPr>
          <w:rFonts w:ascii="Times New Roman" w:hAnsi="Times New Roman" w:cs="Times New Roman"/>
          <w:bCs/>
          <w:sz w:val="24"/>
          <w:szCs w:val="24"/>
        </w:rPr>
        <w:t xml:space="preserve"> (Kamerstukken II 2014/15, 34 034, nr. 3, blz. 6)</w:t>
      </w:r>
      <w:r w:rsidRPr="00A20DC6">
        <w:rPr>
          <w:rFonts w:ascii="Times New Roman" w:hAnsi="Times New Roman" w:cs="Times New Roman"/>
          <w:bCs/>
          <w:sz w:val="24"/>
          <w:szCs w:val="24"/>
        </w:rPr>
        <w:t>. Daarbij is verzuimd dit nieuwe misdrijf</w:t>
      </w:r>
      <w:r w:rsidR="00A76BFC" w:rsidRPr="00A20DC6">
        <w:rPr>
          <w:rFonts w:ascii="Times New Roman" w:hAnsi="Times New Roman" w:cs="Times New Roman"/>
          <w:bCs/>
          <w:sz w:val="24"/>
          <w:szCs w:val="24"/>
        </w:rPr>
        <w:t xml:space="preserve"> – indien gepleegd met een terroristisch oogmerk – aan te wijzen als terroristisch misdrijf</w:t>
      </w:r>
      <w:r w:rsidRPr="00A20DC6">
        <w:rPr>
          <w:rFonts w:ascii="Times New Roman" w:hAnsi="Times New Roman" w:cs="Times New Roman"/>
          <w:bCs/>
          <w:sz w:val="24"/>
          <w:szCs w:val="24"/>
        </w:rPr>
        <w:t xml:space="preserve"> (overeenkomstig </w:t>
      </w:r>
      <w:r w:rsidR="001D7B52" w:rsidRPr="00A20DC6">
        <w:rPr>
          <w:rFonts w:ascii="Times New Roman" w:hAnsi="Times New Roman" w:cs="Times New Roman"/>
          <w:bCs/>
          <w:sz w:val="24"/>
          <w:szCs w:val="24"/>
        </w:rPr>
        <w:t>artikel 161sexies, onderdeel 1º</w:t>
      </w:r>
      <w:r w:rsidRPr="00A20DC6">
        <w:rPr>
          <w:rFonts w:ascii="Times New Roman" w:hAnsi="Times New Roman" w:cs="Times New Roman"/>
          <w:bCs/>
          <w:sz w:val="24"/>
          <w:szCs w:val="24"/>
        </w:rPr>
        <w:t>, oud Sr)</w:t>
      </w:r>
      <w:r w:rsidR="00A76BFC" w:rsidRPr="00A20DC6">
        <w:rPr>
          <w:rFonts w:ascii="Times New Roman" w:hAnsi="Times New Roman" w:cs="Times New Roman"/>
          <w:bCs/>
          <w:sz w:val="24"/>
          <w:szCs w:val="24"/>
        </w:rPr>
        <w:t xml:space="preserve">. Dit wordt </w:t>
      </w:r>
      <w:r w:rsidR="00A229B3" w:rsidRPr="00A20DC6">
        <w:rPr>
          <w:rFonts w:ascii="Times New Roman" w:hAnsi="Times New Roman" w:cs="Times New Roman"/>
          <w:bCs/>
          <w:sz w:val="24"/>
          <w:szCs w:val="24"/>
        </w:rPr>
        <w:t xml:space="preserve">thans </w:t>
      </w:r>
      <w:r w:rsidR="00A76BFC" w:rsidRPr="00A20DC6">
        <w:rPr>
          <w:rFonts w:ascii="Times New Roman" w:hAnsi="Times New Roman" w:cs="Times New Roman"/>
          <w:bCs/>
          <w:sz w:val="24"/>
          <w:szCs w:val="24"/>
        </w:rPr>
        <w:t xml:space="preserve">hersteld door opneming van een verwijzing naar artikel 350c in artikel 354a, dat reeds </w:t>
      </w:r>
      <w:r w:rsidR="00F07A17" w:rsidRPr="00A20DC6">
        <w:rPr>
          <w:rFonts w:ascii="Times New Roman" w:hAnsi="Times New Roman" w:cs="Times New Roman"/>
          <w:bCs/>
          <w:sz w:val="24"/>
          <w:szCs w:val="24"/>
        </w:rPr>
        <w:t xml:space="preserve">in artikel 83 Sr </w:t>
      </w:r>
      <w:r w:rsidR="00A76BFC" w:rsidRPr="00A20DC6">
        <w:rPr>
          <w:rFonts w:ascii="Times New Roman" w:hAnsi="Times New Roman" w:cs="Times New Roman"/>
          <w:bCs/>
          <w:sz w:val="24"/>
          <w:szCs w:val="24"/>
        </w:rPr>
        <w:t xml:space="preserve">is aangewezen als terroristisch misdrijf. </w:t>
      </w:r>
      <w:r w:rsidRPr="00A20DC6">
        <w:rPr>
          <w:rFonts w:ascii="Times New Roman" w:hAnsi="Times New Roman" w:cs="Times New Roman"/>
          <w:bCs/>
          <w:sz w:val="24"/>
          <w:szCs w:val="24"/>
        </w:rPr>
        <w:t>In dezelfde wet</w:t>
      </w:r>
      <w:r w:rsidR="00F07A17" w:rsidRPr="00A20DC6">
        <w:rPr>
          <w:rFonts w:ascii="Times New Roman" w:hAnsi="Times New Roman" w:cs="Times New Roman"/>
          <w:bCs/>
          <w:sz w:val="24"/>
          <w:szCs w:val="24"/>
        </w:rPr>
        <w:t xml:space="preserve"> is artikel 1</w:t>
      </w:r>
      <w:r w:rsidRPr="00A20DC6">
        <w:rPr>
          <w:rFonts w:ascii="Times New Roman" w:hAnsi="Times New Roman" w:cs="Times New Roman"/>
          <w:bCs/>
          <w:sz w:val="24"/>
          <w:szCs w:val="24"/>
        </w:rPr>
        <w:t>38b Sr gewijzigd en zijn aan dat artikel</w:t>
      </w:r>
      <w:r w:rsidR="00F07A17" w:rsidRPr="00A20DC6">
        <w:rPr>
          <w:rFonts w:ascii="Times New Roman" w:hAnsi="Times New Roman" w:cs="Times New Roman"/>
          <w:bCs/>
          <w:sz w:val="24"/>
          <w:szCs w:val="24"/>
        </w:rPr>
        <w:t xml:space="preserve"> toegevoegd </w:t>
      </w:r>
      <w:r w:rsidRPr="00A20DC6">
        <w:rPr>
          <w:rFonts w:ascii="Times New Roman" w:hAnsi="Times New Roman" w:cs="Times New Roman"/>
          <w:bCs/>
          <w:sz w:val="24"/>
          <w:szCs w:val="24"/>
        </w:rPr>
        <w:t xml:space="preserve">enkele </w:t>
      </w:r>
      <w:r w:rsidR="00F07A17" w:rsidRPr="00A20DC6">
        <w:rPr>
          <w:rFonts w:ascii="Times New Roman" w:hAnsi="Times New Roman" w:cs="Times New Roman"/>
          <w:bCs/>
          <w:sz w:val="24"/>
          <w:szCs w:val="24"/>
        </w:rPr>
        <w:t>gedraginge</w:t>
      </w:r>
      <w:r w:rsidR="006B2CAB" w:rsidRPr="00A20DC6">
        <w:rPr>
          <w:rFonts w:ascii="Times New Roman" w:hAnsi="Times New Roman" w:cs="Times New Roman"/>
          <w:bCs/>
          <w:sz w:val="24"/>
          <w:szCs w:val="24"/>
        </w:rPr>
        <w:t>n – het ernstig verstoren van geautomatiseerde werken – waarvan het denkbaar is dat</w:t>
      </w:r>
      <w:r w:rsidR="00F07A17" w:rsidRPr="00A20DC6">
        <w:rPr>
          <w:rFonts w:ascii="Times New Roman" w:hAnsi="Times New Roman" w:cs="Times New Roman"/>
          <w:bCs/>
          <w:sz w:val="24"/>
          <w:szCs w:val="24"/>
        </w:rPr>
        <w:t xml:space="preserve"> zij worden gepleegd met een terroristisch oogmerk</w:t>
      </w:r>
      <w:r w:rsidR="006B2CAB" w:rsidRPr="00A20DC6">
        <w:rPr>
          <w:rFonts w:ascii="Times New Roman" w:hAnsi="Times New Roman" w:cs="Times New Roman"/>
          <w:bCs/>
          <w:sz w:val="24"/>
          <w:szCs w:val="24"/>
        </w:rPr>
        <w:t>. Voorgesteld wordt om deze misdrijven aan te merken als terroristisch misdrijf indien zijn worden gepleegd met een terroristisch oogmerk, met een hogere strafbedreiging. Voor het aanmerken als terroristisch misdrijf</w:t>
      </w:r>
      <w:r w:rsidR="00F07A17" w:rsidRPr="00A20DC6">
        <w:rPr>
          <w:rFonts w:ascii="Times New Roman" w:hAnsi="Times New Roman" w:cs="Times New Roman"/>
          <w:bCs/>
          <w:sz w:val="24"/>
          <w:szCs w:val="24"/>
        </w:rPr>
        <w:t>, dat geschiedt door opneming van artikel 138b, vijfde lid, in artikel 83 Sr</w:t>
      </w:r>
      <w:r w:rsidR="006B2CAB" w:rsidRPr="00A20DC6">
        <w:rPr>
          <w:rFonts w:ascii="Times New Roman" w:hAnsi="Times New Roman" w:cs="Times New Roman"/>
          <w:bCs/>
          <w:sz w:val="24"/>
          <w:szCs w:val="24"/>
        </w:rPr>
        <w:t>,</w:t>
      </w:r>
      <w:r w:rsidR="00F07A17" w:rsidRPr="00A20DC6">
        <w:rPr>
          <w:rFonts w:ascii="Times New Roman" w:hAnsi="Times New Roman" w:cs="Times New Roman"/>
          <w:bCs/>
          <w:sz w:val="24"/>
          <w:szCs w:val="24"/>
        </w:rPr>
        <w:t xml:space="preserve"> draagt dit onderdeel zorg. </w:t>
      </w:r>
    </w:p>
    <w:p w:rsidR="00EB2A69" w:rsidRPr="00A20DC6" w:rsidRDefault="00EB2A69">
      <w:pPr>
        <w:pStyle w:val="NoSpacing"/>
        <w:rPr>
          <w:rFonts w:ascii="Times New Roman" w:hAnsi="Times New Roman" w:cs="Times New Roman"/>
          <w:bCs/>
          <w:i/>
          <w:iCs/>
          <w:sz w:val="24"/>
          <w:szCs w:val="24"/>
        </w:rPr>
      </w:pPr>
    </w:p>
    <w:p w:rsidR="00B10441" w:rsidRPr="00A20DC6" w:rsidRDefault="007A7989">
      <w:pPr>
        <w:pStyle w:val="NoSpacing"/>
        <w:rPr>
          <w:rFonts w:ascii="Times New Roman" w:hAnsi="Times New Roman" w:cs="Times New Roman"/>
          <w:bCs/>
          <w:i/>
          <w:iCs/>
          <w:sz w:val="24"/>
          <w:szCs w:val="24"/>
        </w:rPr>
      </w:pPr>
      <w:r>
        <w:rPr>
          <w:rFonts w:ascii="Times New Roman" w:hAnsi="Times New Roman" w:cs="Times New Roman"/>
          <w:bCs/>
          <w:i/>
          <w:iCs/>
          <w:sz w:val="24"/>
          <w:szCs w:val="24"/>
        </w:rPr>
        <w:t>Onderdeel B</w:t>
      </w:r>
    </w:p>
    <w:p w:rsidR="00B10441" w:rsidRPr="00A20DC6" w:rsidRDefault="00B10441">
      <w:pPr>
        <w:pStyle w:val="NoSpacing"/>
        <w:rPr>
          <w:rFonts w:ascii="Times New Roman" w:hAnsi="Times New Roman" w:cs="Times New Roman"/>
          <w:bCs/>
          <w:i/>
          <w:iCs/>
          <w:sz w:val="24"/>
          <w:szCs w:val="24"/>
        </w:rPr>
      </w:pPr>
    </w:p>
    <w:p w:rsidR="00EB2A69" w:rsidRPr="00A20DC6" w:rsidRDefault="00EB2A69">
      <w:pPr>
        <w:pStyle w:val="NoSpacing"/>
        <w:rPr>
          <w:rFonts w:ascii="Times New Roman" w:hAnsi="Times New Roman" w:cs="Times New Roman"/>
          <w:bCs/>
          <w:sz w:val="24"/>
          <w:szCs w:val="24"/>
        </w:rPr>
      </w:pPr>
      <w:r w:rsidRPr="00A20DC6">
        <w:rPr>
          <w:rFonts w:ascii="Times New Roman" w:hAnsi="Times New Roman" w:cs="Times New Roman"/>
          <w:bCs/>
          <w:sz w:val="24"/>
          <w:szCs w:val="24"/>
        </w:rPr>
        <w:t>De wijziging is toegelic</w:t>
      </w:r>
      <w:r w:rsidR="009E1DC2" w:rsidRPr="00A20DC6">
        <w:rPr>
          <w:rFonts w:ascii="Times New Roman" w:hAnsi="Times New Roman" w:cs="Times New Roman"/>
          <w:bCs/>
          <w:sz w:val="24"/>
          <w:szCs w:val="24"/>
        </w:rPr>
        <w:t>ht in paragraaf 3</w:t>
      </w:r>
      <w:r w:rsidR="0015431E">
        <w:rPr>
          <w:rFonts w:ascii="Times New Roman" w:hAnsi="Times New Roman" w:cs="Times New Roman"/>
          <w:bCs/>
          <w:sz w:val="24"/>
          <w:szCs w:val="24"/>
        </w:rPr>
        <w:t>.2</w:t>
      </w:r>
      <w:r w:rsidRPr="00A20DC6">
        <w:rPr>
          <w:rFonts w:ascii="Times New Roman" w:hAnsi="Times New Roman" w:cs="Times New Roman"/>
          <w:bCs/>
          <w:sz w:val="24"/>
          <w:szCs w:val="24"/>
        </w:rPr>
        <w:t xml:space="preserve"> van het algemene deel van deze toelichting. </w:t>
      </w:r>
    </w:p>
    <w:p w:rsidR="00B10441" w:rsidRPr="00A20DC6" w:rsidRDefault="00B10441">
      <w:pPr>
        <w:pStyle w:val="NoSpacing"/>
        <w:rPr>
          <w:rFonts w:ascii="Times New Roman" w:hAnsi="Times New Roman" w:cs="Times New Roman"/>
          <w:bCs/>
          <w:i/>
          <w:iCs/>
          <w:sz w:val="24"/>
          <w:szCs w:val="24"/>
        </w:rPr>
      </w:pPr>
    </w:p>
    <w:p w:rsidR="00435E41" w:rsidRPr="00A20DC6" w:rsidRDefault="00435E41" w:rsidP="007A7989">
      <w:pPr>
        <w:pStyle w:val="NoSpacing"/>
        <w:rPr>
          <w:rFonts w:ascii="Times New Roman" w:hAnsi="Times New Roman" w:cs="Times New Roman"/>
          <w:bCs/>
          <w:i/>
          <w:iCs/>
          <w:sz w:val="24"/>
          <w:szCs w:val="24"/>
        </w:rPr>
      </w:pPr>
      <w:r w:rsidRPr="00A20DC6">
        <w:rPr>
          <w:rFonts w:ascii="Times New Roman" w:hAnsi="Times New Roman" w:cs="Times New Roman"/>
          <w:bCs/>
          <w:i/>
          <w:iCs/>
          <w:sz w:val="24"/>
          <w:szCs w:val="24"/>
        </w:rPr>
        <w:t>Onderdelen</w:t>
      </w:r>
      <w:r w:rsidR="00132197" w:rsidRPr="00A20DC6">
        <w:rPr>
          <w:rFonts w:ascii="Times New Roman" w:hAnsi="Times New Roman" w:cs="Times New Roman"/>
          <w:bCs/>
          <w:i/>
          <w:iCs/>
          <w:sz w:val="24"/>
          <w:szCs w:val="24"/>
        </w:rPr>
        <w:t xml:space="preserve"> </w:t>
      </w:r>
      <w:r w:rsidR="007A7989">
        <w:rPr>
          <w:rFonts w:ascii="Times New Roman" w:hAnsi="Times New Roman" w:cs="Times New Roman"/>
          <w:bCs/>
          <w:i/>
          <w:iCs/>
          <w:sz w:val="24"/>
          <w:szCs w:val="24"/>
        </w:rPr>
        <w:t>C, D, G, H, J, K, L</w:t>
      </w:r>
      <w:r w:rsidR="00B10441" w:rsidRPr="00A20DC6">
        <w:rPr>
          <w:rFonts w:ascii="Times New Roman" w:hAnsi="Times New Roman" w:cs="Times New Roman"/>
          <w:bCs/>
          <w:i/>
          <w:iCs/>
          <w:sz w:val="24"/>
          <w:szCs w:val="24"/>
        </w:rPr>
        <w:t>,</w:t>
      </w:r>
      <w:r w:rsidR="007A7989">
        <w:rPr>
          <w:rFonts w:ascii="Times New Roman" w:hAnsi="Times New Roman" w:cs="Times New Roman"/>
          <w:bCs/>
          <w:i/>
          <w:iCs/>
          <w:sz w:val="24"/>
          <w:szCs w:val="24"/>
        </w:rPr>
        <w:t xml:space="preserve"> N en O</w:t>
      </w:r>
      <w:r w:rsidR="00B10441" w:rsidRPr="00A20DC6">
        <w:rPr>
          <w:rFonts w:ascii="Times New Roman" w:hAnsi="Times New Roman" w:cs="Times New Roman"/>
          <w:bCs/>
          <w:i/>
          <w:iCs/>
          <w:sz w:val="24"/>
          <w:szCs w:val="24"/>
        </w:rPr>
        <w:t xml:space="preserve"> </w:t>
      </w:r>
    </w:p>
    <w:p w:rsidR="00435E41" w:rsidRPr="00A20DC6" w:rsidRDefault="00435E41">
      <w:pPr>
        <w:pStyle w:val="NoSpacing"/>
        <w:rPr>
          <w:rFonts w:ascii="Times New Roman" w:hAnsi="Times New Roman" w:cs="Times New Roman"/>
          <w:bCs/>
          <w:i/>
          <w:iCs/>
          <w:sz w:val="24"/>
          <w:szCs w:val="24"/>
        </w:rPr>
      </w:pPr>
    </w:p>
    <w:p w:rsidR="00435E41" w:rsidRPr="00A20DC6" w:rsidRDefault="008148B1">
      <w:pPr>
        <w:pStyle w:val="NoSpacing"/>
        <w:rPr>
          <w:rFonts w:ascii="Times New Roman" w:hAnsi="Times New Roman" w:cs="Times New Roman"/>
          <w:bCs/>
          <w:sz w:val="24"/>
          <w:szCs w:val="24"/>
        </w:rPr>
      </w:pPr>
      <w:r w:rsidRPr="00A20DC6">
        <w:rPr>
          <w:rFonts w:ascii="Times New Roman" w:hAnsi="Times New Roman" w:cs="Times New Roman"/>
          <w:bCs/>
          <w:sz w:val="24"/>
          <w:szCs w:val="24"/>
        </w:rPr>
        <w:t>D</w:t>
      </w:r>
      <w:r w:rsidR="00A1166D" w:rsidRPr="00A20DC6">
        <w:rPr>
          <w:rFonts w:ascii="Times New Roman" w:hAnsi="Times New Roman" w:cs="Times New Roman"/>
          <w:bCs/>
          <w:sz w:val="24"/>
          <w:szCs w:val="24"/>
        </w:rPr>
        <w:t>eze wijzigingen betreffen het aanwijzen van terroristische misdrijven waarvoor ontzetting uit het kiesrecht mogelijk moet worden gemaakt. d</w:t>
      </w:r>
      <w:r w:rsidRPr="00A20DC6">
        <w:rPr>
          <w:rFonts w:ascii="Times New Roman" w:hAnsi="Times New Roman" w:cs="Times New Roman"/>
          <w:bCs/>
          <w:sz w:val="24"/>
          <w:szCs w:val="24"/>
        </w:rPr>
        <w:t>aarbij is</w:t>
      </w:r>
      <w:r w:rsidR="00435E41" w:rsidRPr="00A20DC6">
        <w:rPr>
          <w:rFonts w:ascii="Times New Roman" w:hAnsi="Times New Roman" w:cs="Times New Roman"/>
          <w:bCs/>
          <w:sz w:val="24"/>
          <w:szCs w:val="24"/>
        </w:rPr>
        <w:t xml:space="preserve"> op de volgende wijze te werk gegaan. </w:t>
      </w:r>
      <w:r w:rsidR="00A1166D" w:rsidRPr="00A20DC6">
        <w:rPr>
          <w:rFonts w:ascii="Times New Roman" w:hAnsi="Times New Roman" w:cs="Times New Roman"/>
          <w:bCs/>
          <w:sz w:val="24"/>
          <w:szCs w:val="24"/>
        </w:rPr>
        <w:t xml:space="preserve">Bij misdrijven die reeds aanleiding konden geven voor ontzetting van het kiesrecht, is niet een extra ontzettingsmogelijkheid gecreëerd in geval sprake is van een terroristische variant van die misdrijven. Daarentegen zijn voor terroristische misdrijven waarbij ontzetting nog niet mogelijk was aparte, nieuwe bepalingen gemaakt, die worden geplaatst aan het einde van de afdeling waarin de desbetreffende misdrijven zijn opgenomen.   </w:t>
      </w:r>
    </w:p>
    <w:p w:rsidR="00132197" w:rsidRPr="00A20DC6" w:rsidRDefault="00132197">
      <w:pPr>
        <w:pStyle w:val="NoSpacing"/>
        <w:rPr>
          <w:rFonts w:ascii="Times New Roman" w:hAnsi="Times New Roman" w:cs="Times New Roman"/>
          <w:bCs/>
          <w:sz w:val="24"/>
          <w:szCs w:val="24"/>
        </w:rPr>
      </w:pPr>
    </w:p>
    <w:p w:rsidR="00702931" w:rsidRPr="00A20DC6" w:rsidRDefault="007A7989" w:rsidP="00F727B3">
      <w:pPr>
        <w:pStyle w:val="NoSpacing"/>
        <w:rPr>
          <w:rFonts w:ascii="Times New Roman" w:hAnsi="Times New Roman" w:cs="Times New Roman"/>
          <w:bCs/>
          <w:i/>
          <w:iCs/>
          <w:sz w:val="24"/>
          <w:szCs w:val="24"/>
        </w:rPr>
      </w:pPr>
      <w:r>
        <w:rPr>
          <w:rFonts w:ascii="Times New Roman" w:hAnsi="Times New Roman" w:cs="Times New Roman"/>
          <w:bCs/>
          <w:i/>
          <w:iCs/>
          <w:sz w:val="24"/>
          <w:szCs w:val="24"/>
        </w:rPr>
        <w:t>Onderdeel E</w:t>
      </w:r>
    </w:p>
    <w:p w:rsidR="00702931" w:rsidRPr="00A20DC6" w:rsidRDefault="00702931">
      <w:pPr>
        <w:pStyle w:val="NoSpacing"/>
        <w:rPr>
          <w:rFonts w:ascii="Times New Roman" w:hAnsi="Times New Roman" w:cs="Times New Roman"/>
          <w:bCs/>
          <w:sz w:val="24"/>
          <w:szCs w:val="24"/>
        </w:rPr>
      </w:pPr>
    </w:p>
    <w:p w:rsidR="00702931" w:rsidRPr="00A20DC6" w:rsidRDefault="00702931">
      <w:pPr>
        <w:pStyle w:val="NoSpacing"/>
        <w:rPr>
          <w:rFonts w:ascii="Times New Roman" w:hAnsi="Times New Roman" w:cs="Times New Roman"/>
          <w:bCs/>
          <w:sz w:val="24"/>
          <w:szCs w:val="24"/>
        </w:rPr>
      </w:pPr>
      <w:r w:rsidRPr="00A20DC6">
        <w:rPr>
          <w:rFonts w:ascii="Times New Roman" w:hAnsi="Times New Roman" w:cs="Times New Roman"/>
          <w:bCs/>
          <w:sz w:val="24"/>
          <w:szCs w:val="24"/>
        </w:rPr>
        <w:t>De aanpassing volgt uit de aanpassing van artikel 160 Sv</w:t>
      </w:r>
      <w:r w:rsidR="009E1DC2" w:rsidRPr="00A20DC6">
        <w:rPr>
          <w:rFonts w:ascii="Times New Roman" w:hAnsi="Times New Roman" w:cs="Times New Roman"/>
          <w:bCs/>
          <w:sz w:val="24"/>
          <w:szCs w:val="24"/>
        </w:rPr>
        <w:t xml:space="preserve"> en is toegelicht in paragraaf 4</w:t>
      </w:r>
      <w:r w:rsidRPr="00A20DC6">
        <w:rPr>
          <w:rFonts w:ascii="Times New Roman" w:hAnsi="Times New Roman" w:cs="Times New Roman"/>
          <w:bCs/>
          <w:sz w:val="24"/>
          <w:szCs w:val="24"/>
        </w:rPr>
        <w:t xml:space="preserve">.3 van het algemene deel van deze toelichting.  </w:t>
      </w:r>
    </w:p>
    <w:p w:rsidR="00702931" w:rsidRPr="00A20DC6" w:rsidRDefault="00702931">
      <w:pPr>
        <w:pStyle w:val="NoSpacing"/>
        <w:rPr>
          <w:rFonts w:ascii="Times New Roman" w:hAnsi="Times New Roman" w:cs="Times New Roman"/>
          <w:bCs/>
          <w:sz w:val="24"/>
          <w:szCs w:val="24"/>
        </w:rPr>
      </w:pPr>
    </w:p>
    <w:p w:rsidR="006B2CAB" w:rsidRPr="000E35F5" w:rsidRDefault="007A7989">
      <w:pPr>
        <w:pStyle w:val="NoSpacing"/>
        <w:rPr>
          <w:rFonts w:ascii="Times New Roman" w:hAnsi="Times New Roman" w:cs="Times New Roman"/>
          <w:bCs/>
          <w:i/>
          <w:iCs/>
          <w:sz w:val="24"/>
          <w:szCs w:val="24"/>
        </w:rPr>
      </w:pPr>
      <w:r w:rsidRPr="000E35F5">
        <w:rPr>
          <w:rFonts w:ascii="Times New Roman" w:hAnsi="Times New Roman" w:cs="Times New Roman"/>
          <w:bCs/>
          <w:i/>
          <w:iCs/>
          <w:sz w:val="24"/>
          <w:szCs w:val="24"/>
        </w:rPr>
        <w:t>Onderdeel F</w:t>
      </w:r>
    </w:p>
    <w:p w:rsidR="006B2CAB" w:rsidRPr="000E35F5" w:rsidRDefault="006B2CAB">
      <w:pPr>
        <w:pStyle w:val="NoSpacing"/>
        <w:rPr>
          <w:rFonts w:ascii="Times New Roman" w:hAnsi="Times New Roman" w:cs="Times New Roman"/>
          <w:bCs/>
          <w:i/>
          <w:iCs/>
          <w:sz w:val="24"/>
          <w:szCs w:val="24"/>
        </w:rPr>
      </w:pPr>
    </w:p>
    <w:p w:rsidR="006B2CAB" w:rsidRPr="00A20DC6" w:rsidRDefault="006B2CAB" w:rsidP="006B2CAB">
      <w:pPr>
        <w:pStyle w:val="NoSpacing"/>
        <w:rPr>
          <w:rFonts w:ascii="Times New Roman" w:hAnsi="Times New Roman" w:cs="Times New Roman"/>
          <w:bCs/>
          <w:sz w:val="24"/>
          <w:szCs w:val="24"/>
        </w:rPr>
      </w:pPr>
      <w:r w:rsidRPr="000E35F5">
        <w:rPr>
          <w:rFonts w:ascii="Times New Roman" w:hAnsi="Times New Roman" w:cs="Times New Roman"/>
          <w:bCs/>
          <w:sz w:val="24"/>
          <w:szCs w:val="24"/>
        </w:rPr>
        <w:t>In aansluiting op de toelichting op Onderdeel B van Artikel 1 hierboven in de artikelsgewijze toelichting, voorziet dit onderdeel in een strafverhoging indien het misdrijf van artikel 138b Sr wordt gepleegd hetzij als feit om een terroristisch misdrijf voor te bereiden of gemakkelijk te maken (</w:t>
      </w:r>
      <w:r w:rsidRPr="000E35F5">
        <w:rPr>
          <w:rFonts w:ascii="Times New Roman" w:hAnsi="Times New Roman" w:cs="Times New Roman"/>
          <w:bCs/>
          <w:i/>
          <w:iCs/>
          <w:sz w:val="24"/>
          <w:szCs w:val="24"/>
        </w:rPr>
        <w:t>artikel 138b, vierde lid, Sr</w:t>
      </w:r>
      <w:r w:rsidR="003E72A7" w:rsidRPr="000E35F5">
        <w:rPr>
          <w:rFonts w:ascii="Times New Roman" w:hAnsi="Times New Roman" w:cs="Times New Roman"/>
          <w:bCs/>
          <w:sz w:val="24"/>
          <w:szCs w:val="24"/>
        </w:rPr>
        <w:t>)</w:t>
      </w:r>
      <w:r w:rsidRPr="000E35F5">
        <w:rPr>
          <w:rFonts w:ascii="Times New Roman" w:hAnsi="Times New Roman" w:cs="Times New Roman"/>
          <w:bCs/>
          <w:sz w:val="24"/>
          <w:szCs w:val="24"/>
        </w:rPr>
        <w:t>, hetzij als terroristisch misdrijf (</w:t>
      </w:r>
      <w:r w:rsidRPr="000E35F5">
        <w:rPr>
          <w:rFonts w:ascii="Times New Roman" w:hAnsi="Times New Roman" w:cs="Times New Roman"/>
          <w:bCs/>
          <w:i/>
          <w:iCs/>
          <w:sz w:val="24"/>
          <w:szCs w:val="24"/>
        </w:rPr>
        <w:t>artikel 138b, vijfde lid, Sr</w:t>
      </w:r>
      <w:r w:rsidRPr="000E35F5">
        <w:rPr>
          <w:rFonts w:ascii="Times New Roman" w:hAnsi="Times New Roman" w:cs="Times New Roman"/>
          <w:bCs/>
          <w:sz w:val="24"/>
          <w:szCs w:val="24"/>
        </w:rPr>
        <w:t>).</w:t>
      </w:r>
    </w:p>
    <w:p w:rsidR="006B2CAB" w:rsidRPr="00A20DC6" w:rsidRDefault="006B2CAB">
      <w:pPr>
        <w:pStyle w:val="NoSpacing"/>
        <w:rPr>
          <w:rFonts w:ascii="Times New Roman" w:hAnsi="Times New Roman" w:cs="Times New Roman"/>
          <w:bCs/>
          <w:sz w:val="24"/>
          <w:szCs w:val="24"/>
        </w:rPr>
      </w:pPr>
    </w:p>
    <w:p w:rsidR="00FB7186" w:rsidRPr="00A20DC6" w:rsidRDefault="007A7989">
      <w:pPr>
        <w:pStyle w:val="NoSpacing"/>
        <w:rPr>
          <w:rFonts w:ascii="Times New Roman" w:hAnsi="Times New Roman" w:cs="Times New Roman"/>
          <w:bCs/>
          <w:i/>
          <w:iCs/>
          <w:sz w:val="24"/>
          <w:szCs w:val="24"/>
        </w:rPr>
      </w:pPr>
      <w:r w:rsidRPr="007A7989">
        <w:rPr>
          <w:rFonts w:ascii="Times New Roman" w:hAnsi="Times New Roman" w:cs="Times New Roman"/>
          <w:bCs/>
          <w:i/>
          <w:iCs/>
          <w:sz w:val="24"/>
          <w:szCs w:val="24"/>
        </w:rPr>
        <w:t>Onderdeel I</w:t>
      </w:r>
    </w:p>
    <w:p w:rsidR="00F118F3" w:rsidRPr="00A20DC6" w:rsidRDefault="00F118F3">
      <w:pPr>
        <w:pStyle w:val="NoSpacing"/>
        <w:rPr>
          <w:rFonts w:ascii="Times New Roman" w:hAnsi="Times New Roman" w:cs="Times New Roman"/>
          <w:bCs/>
          <w:i/>
          <w:iCs/>
          <w:sz w:val="24"/>
          <w:szCs w:val="24"/>
        </w:rPr>
      </w:pPr>
    </w:p>
    <w:p w:rsidR="00FB7186" w:rsidRPr="00A20DC6" w:rsidRDefault="009529E8" w:rsidP="009529E8">
      <w:pPr>
        <w:pStyle w:val="NoSpacing"/>
        <w:rPr>
          <w:rFonts w:ascii="Times New Roman" w:hAnsi="Times New Roman" w:cs="Times New Roman"/>
          <w:bCs/>
          <w:sz w:val="24"/>
          <w:szCs w:val="24"/>
        </w:rPr>
      </w:pPr>
      <w:r w:rsidRPr="00A20DC6">
        <w:rPr>
          <w:rFonts w:ascii="Times New Roman" w:hAnsi="Times New Roman" w:cs="Times New Roman"/>
          <w:bCs/>
          <w:sz w:val="24"/>
          <w:szCs w:val="24"/>
        </w:rPr>
        <w:t>De wijzigin</w:t>
      </w:r>
      <w:r w:rsidR="009E1DC2" w:rsidRPr="00A20DC6">
        <w:rPr>
          <w:rFonts w:ascii="Times New Roman" w:hAnsi="Times New Roman" w:cs="Times New Roman"/>
          <w:bCs/>
          <w:sz w:val="24"/>
          <w:szCs w:val="24"/>
        </w:rPr>
        <w:t>g</w:t>
      </w:r>
      <w:r w:rsidR="0042366D">
        <w:rPr>
          <w:rFonts w:ascii="Times New Roman" w:hAnsi="Times New Roman" w:cs="Times New Roman"/>
          <w:bCs/>
          <w:sz w:val="24"/>
          <w:szCs w:val="24"/>
        </w:rPr>
        <w:t>, die samenhangt met uitbreiding van de aangifteplicht</w:t>
      </w:r>
      <w:r w:rsidR="009E1DC2" w:rsidRPr="00A20DC6">
        <w:rPr>
          <w:rFonts w:ascii="Times New Roman" w:hAnsi="Times New Roman" w:cs="Times New Roman"/>
          <w:bCs/>
          <w:sz w:val="24"/>
          <w:szCs w:val="24"/>
        </w:rPr>
        <w:t xml:space="preserve"> is toegelicht in paragraaf 4</w:t>
      </w:r>
      <w:r w:rsidR="00C4130D" w:rsidRPr="00A20DC6">
        <w:rPr>
          <w:rFonts w:ascii="Times New Roman" w:hAnsi="Times New Roman" w:cs="Times New Roman"/>
          <w:bCs/>
          <w:sz w:val="24"/>
          <w:szCs w:val="24"/>
        </w:rPr>
        <w:t>.3</w:t>
      </w:r>
      <w:r w:rsidRPr="00A20DC6">
        <w:rPr>
          <w:rFonts w:ascii="Times New Roman" w:hAnsi="Times New Roman" w:cs="Times New Roman"/>
          <w:bCs/>
          <w:sz w:val="24"/>
          <w:szCs w:val="24"/>
        </w:rPr>
        <w:t xml:space="preserve"> van het algemene deel van deze toelichting</w:t>
      </w:r>
    </w:p>
    <w:p w:rsidR="00FB7186" w:rsidRPr="00A20DC6" w:rsidRDefault="00FB7186">
      <w:pPr>
        <w:pStyle w:val="NoSpacing"/>
        <w:rPr>
          <w:rFonts w:ascii="Times New Roman" w:hAnsi="Times New Roman" w:cs="Times New Roman"/>
          <w:bCs/>
          <w:sz w:val="24"/>
          <w:szCs w:val="24"/>
        </w:rPr>
      </w:pPr>
    </w:p>
    <w:p w:rsidR="009529E8" w:rsidRPr="00A20DC6" w:rsidRDefault="009529E8">
      <w:pPr>
        <w:pStyle w:val="NoSpacing"/>
        <w:rPr>
          <w:rFonts w:ascii="Times New Roman" w:hAnsi="Times New Roman" w:cs="Times New Roman"/>
          <w:bCs/>
          <w:sz w:val="24"/>
          <w:szCs w:val="24"/>
        </w:rPr>
      </w:pPr>
    </w:p>
    <w:p w:rsidR="007E25B5" w:rsidRPr="00A20DC6" w:rsidRDefault="007E25B5">
      <w:pPr>
        <w:pStyle w:val="NoSpacing"/>
        <w:rPr>
          <w:rFonts w:ascii="Times New Roman" w:hAnsi="Times New Roman" w:cs="Times New Roman"/>
          <w:bCs/>
          <w:sz w:val="24"/>
          <w:szCs w:val="24"/>
        </w:rPr>
      </w:pPr>
      <w:r w:rsidRPr="00A20DC6">
        <w:rPr>
          <w:rFonts w:ascii="Times New Roman" w:hAnsi="Times New Roman" w:cs="Times New Roman"/>
          <w:bCs/>
          <w:sz w:val="24"/>
          <w:szCs w:val="24"/>
        </w:rPr>
        <w:t>ARTIKEL II</w:t>
      </w:r>
    </w:p>
    <w:p w:rsidR="007E25B5" w:rsidRPr="00A20DC6" w:rsidRDefault="007E25B5">
      <w:pPr>
        <w:pStyle w:val="NoSpacing"/>
        <w:rPr>
          <w:rFonts w:ascii="Times New Roman" w:hAnsi="Times New Roman" w:cs="Times New Roman"/>
          <w:bCs/>
          <w:sz w:val="24"/>
          <w:szCs w:val="24"/>
        </w:rPr>
      </w:pPr>
    </w:p>
    <w:p w:rsidR="00F118F3" w:rsidRPr="00A20DC6" w:rsidRDefault="00F118F3">
      <w:pPr>
        <w:pStyle w:val="NoSpacing"/>
        <w:rPr>
          <w:rFonts w:ascii="Times New Roman" w:hAnsi="Times New Roman" w:cs="Times New Roman"/>
          <w:bCs/>
          <w:i/>
          <w:iCs/>
          <w:sz w:val="24"/>
          <w:szCs w:val="24"/>
        </w:rPr>
      </w:pPr>
      <w:r w:rsidRPr="00A20DC6">
        <w:rPr>
          <w:rFonts w:ascii="Times New Roman" w:hAnsi="Times New Roman" w:cs="Times New Roman"/>
          <w:bCs/>
          <w:i/>
          <w:iCs/>
          <w:sz w:val="24"/>
          <w:szCs w:val="24"/>
        </w:rPr>
        <w:t>Onderdeel A</w:t>
      </w:r>
    </w:p>
    <w:p w:rsidR="00F118F3" w:rsidRPr="00A20DC6" w:rsidRDefault="00F118F3">
      <w:pPr>
        <w:pStyle w:val="NoSpacing"/>
        <w:rPr>
          <w:rFonts w:ascii="Times New Roman" w:hAnsi="Times New Roman" w:cs="Times New Roman"/>
          <w:bCs/>
          <w:i/>
          <w:iCs/>
          <w:sz w:val="24"/>
          <w:szCs w:val="24"/>
        </w:rPr>
      </w:pPr>
    </w:p>
    <w:p w:rsidR="00132197" w:rsidRPr="00A20DC6" w:rsidRDefault="00F118F3" w:rsidP="00826B0E">
      <w:pPr>
        <w:pStyle w:val="NoSpacing"/>
        <w:rPr>
          <w:rFonts w:ascii="Times New Roman" w:hAnsi="Times New Roman" w:cs="Times New Roman"/>
          <w:bCs/>
          <w:sz w:val="24"/>
          <w:szCs w:val="24"/>
        </w:rPr>
      </w:pPr>
      <w:r w:rsidRPr="00A20DC6">
        <w:rPr>
          <w:rFonts w:ascii="Times New Roman" w:hAnsi="Times New Roman" w:cs="Times New Roman"/>
          <w:bCs/>
          <w:sz w:val="24"/>
          <w:szCs w:val="24"/>
        </w:rPr>
        <w:t xml:space="preserve">De wijziging van </w:t>
      </w:r>
      <w:r w:rsidRPr="00A20DC6">
        <w:rPr>
          <w:rFonts w:ascii="Times New Roman" w:hAnsi="Times New Roman" w:cs="Times New Roman"/>
          <w:bCs/>
          <w:i/>
          <w:iCs/>
          <w:sz w:val="24"/>
          <w:szCs w:val="24"/>
        </w:rPr>
        <w:t>artikel 67,</w:t>
      </w:r>
      <w:r w:rsidRPr="00A20DC6">
        <w:rPr>
          <w:rFonts w:ascii="Times New Roman" w:hAnsi="Times New Roman" w:cs="Times New Roman"/>
          <w:bCs/>
          <w:sz w:val="24"/>
          <w:szCs w:val="24"/>
        </w:rPr>
        <w:t xml:space="preserve"> </w:t>
      </w:r>
      <w:r w:rsidR="008148B1" w:rsidRPr="00A20DC6">
        <w:rPr>
          <w:rFonts w:ascii="Times New Roman" w:hAnsi="Times New Roman" w:cs="Times New Roman"/>
          <w:bCs/>
          <w:i/>
          <w:iCs/>
          <w:sz w:val="24"/>
          <w:szCs w:val="24"/>
        </w:rPr>
        <w:t>vierde</w:t>
      </w:r>
      <w:r w:rsidRPr="00A20DC6">
        <w:rPr>
          <w:rFonts w:ascii="Times New Roman" w:hAnsi="Times New Roman" w:cs="Times New Roman"/>
          <w:bCs/>
          <w:i/>
          <w:iCs/>
          <w:sz w:val="24"/>
          <w:szCs w:val="24"/>
        </w:rPr>
        <w:t xml:space="preserve"> lid</w:t>
      </w:r>
      <w:r w:rsidRPr="00A20DC6">
        <w:rPr>
          <w:rFonts w:ascii="Times New Roman" w:hAnsi="Times New Roman" w:cs="Times New Roman"/>
          <w:bCs/>
          <w:sz w:val="24"/>
          <w:szCs w:val="24"/>
        </w:rPr>
        <w:t>,</w:t>
      </w:r>
      <w:r w:rsidR="00BB32B7" w:rsidRPr="00A20DC6">
        <w:rPr>
          <w:rFonts w:ascii="Times New Roman" w:hAnsi="Times New Roman" w:cs="Times New Roman"/>
          <w:bCs/>
          <w:sz w:val="24"/>
          <w:szCs w:val="24"/>
        </w:rPr>
        <w:t xml:space="preserve"> </w:t>
      </w:r>
      <w:r w:rsidR="00BB32B7" w:rsidRPr="00A20DC6">
        <w:rPr>
          <w:rFonts w:ascii="Times New Roman" w:hAnsi="Times New Roman" w:cs="Times New Roman"/>
          <w:bCs/>
          <w:i/>
          <w:sz w:val="24"/>
          <w:szCs w:val="24"/>
        </w:rPr>
        <w:t>Sv</w:t>
      </w:r>
      <w:r w:rsidRPr="00A20DC6">
        <w:rPr>
          <w:rFonts w:ascii="Times New Roman" w:hAnsi="Times New Roman" w:cs="Times New Roman"/>
          <w:bCs/>
          <w:sz w:val="24"/>
          <w:szCs w:val="24"/>
        </w:rPr>
        <w:t xml:space="preserve"> is toegelicht in paragraaf </w:t>
      </w:r>
      <w:r w:rsidR="009E1DC2" w:rsidRPr="00A20DC6">
        <w:rPr>
          <w:rFonts w:ascii="Times New Roman" w:hAnsi="Times New Roman" w:cs="Times New Roman"/>
          <w:bCs/>
          <w:sz w:val="24"/>
          <w:szCs w:val="24"/>
        </w:rPr>
        <w:t xml:space="preserve"> 4</w:t>
      </w:r>
      <w:r w:rsidRPr="00A20DC6">
        <w:rPr>
          <w:rFonts w:ascii="Times New Roman" w:hAnsi="Times New Roman" w:cs="Times New Roman"/>
          <w:bCs/>
          <w:sz w:val="24"/>
          <w:szCs w:val="24"/>
        </w:rPr>
        <w:t>.1 van het algemene deel van deze toelichting.</w:t>
      </w:r>
      <w:r w:rsidR="00826B0E" w:rsidRPr="00A20DC6">
        <w:rPr>
          <w:rFonts w:ascii="Times New Roman" w:hAnsi="Times New Roman" w:cs="Times New Roman"/>
          <w:bCs/>
          <w:i/>
          <w:iCs/>
          <w:sz w:val="24"/>
          <w:szCs w:val="24"/>
        </w:rPr>
        <w:t xml:space="preserve"> </w:t>
      </w:r>
      <w:r w:rsidR="00826B0E" w:rsidRPr="00A20DC6">
        <w:rPr>
          <w:rFonts w:ascii="Times New Roman" w:hAnsi="Times New Roman" w:cs="Times New Roman"/>
          <w:bCs/>
          <w:sz w:val="24"/>
          <w:szCs w:val="24"/>
        </w:rPr>
        <w:t xml:space="preserve">Gronden voor voorlopige hechtenis die aan de orde kunnen zijn, betreffen bijvoorbeeld collusie- en vluchtgevaar. </w:t>
      </w:r>
    </w:p>
    <w:p w:rsidR="00A11151" w:rsidRPr="00A20DC6" w:rsidRDefault="00A11151">
      <w:pPr>
        <w:pStyle w:val="NoSpacing"/>
        <w:rPr>
          <w:rFonts w:ascii="Times New Roman" w:hAnsi="Times New Roman" w:cs="Times New Roman"/>
          <w:bCs/>
          <w:sz w:val="24"/>
          <w:szCs w:val="24"/>
        </w:rPr>
      </w:pPr>
    </w:p>
    <w:p w:rsidR="00F118F3" w:rsidRPr="00A20DC6" w:rsidRDefault="00F118F3">
      <w:pPr>
        <w:pStyle w:val="NoSpacing"/>
        <w:rPr>
          <w:rFonts w:ascii="Times New Roman" w:hAnsi="Times New Roman" w:cs="Times New Roman"/>
          <w:bCs/>
          <w:i/>
          <w:iCs/>
          <w:sz w:val="24"/>
          <w:szCs w:val="24"/>
        </w:rPr>
      </w:pPr>
      <w:r w:rsidRPr="00A20DC6">
        <w:rPr>
          <w:rFonts w:ascii="Times New Roman" w:hAnsi="Times New Roman" w:cs="Times New Roman"/>
          <w:bCs/>
          <w:i/>
          <w:iCs/>
          <w:sz w:val="24"/>
          <w:szCs w:val="24"/>
        </w:rPr>
        <w:t>Onderdeel B</w:t>
      </w:r>
    </w:p>
    <w:p w:rsidR="00F118F3" w:rsidRPr="00A20DC6" w:rsidRDefault="00F118F3">
      <w:pPr>
        <w:pStyle w:val="NoSpacing"/>
        <w:rPr>
          <w:rFonts w:ascii="Times New Roman" w:hAnsi="Times New Roman" w:cs="Times New Roman"/>
          <w:bCs/>
          <w:i/>
          <w:iCs/>
          <w:sz w:val="24"/>
          <w:szCs w:val="24"/>
        </w:rPr>
      </w:pPr>
    </w:p>
    <w:p w:rsidR="008148B1" w:rsidRPr="00CB33AE" w:rsidRDefault="008148B1">
      <w:pPr>
        <w:pStyle w:val="NoSpacing"/>
        <w:rPr>
          <w:rFonts w:ascii="Times New Roman" w:hAnsi="Times New Roman" w:cs="Times New Roman"/>
          <w:bCs/>
          <w:iCs/>
          <w:sz w:val="24"/>
          <w:szCs w:val="24"/>
        </w:rPr>
      </w:pPr>
      <w:r w:rsidRPr="00CB33AE">
        <w:rPr>
          <w:rFonts w:ascii="Times New Roman" w:hAnsi="Times New Roman" w:cs="Times New Roman"/>
          <w:bCs/>
          <w:iCs/>
          <w:sz w:val="24"/>
          <w:szCs w:val="24"/>
        </w:rPr>
        <w:t xml:space="preserve">Het nieuwe </w:t>
      </w:r>
      <w:r w:rsidRPr="00CB33AE">
        <w:rPr>
          <w:rFonts w:ascii="Times New Roman" w:hAnsi="Times New Roman" w:cs="Times New Roman"/>
          <w:bCs/>
          <w:i/>
          <w:iCs/>
          <w:sz w:val="24"/>
          <w:szCs w:val="24"/>
        </w:rPr>
        <w:t xml:space="preserve">artikel 126zsa </w:t>
      </w:r>
      <w:r w:rsidR="00BB32B7" w:rsidRPr="00CB33AE">
        <w:rPr>
          <w:rFonts w:ascii="Times New Roman" w:hAnsi="Times New Roman" w:cs="Times New Roman"/>
          <w:bCs/>
          <w:i/>
          <w:iCs/>
          <w:sz w:val="24"/>
          <w:szCs w:val="24"/>
        </w:rPr>
        <w:t>Sv</w:t>
      </w:r>
      <w:r w:rsidR="00BB32B7" w:rsidRPr="00CB33AE">
        <w:rPr>
          <w:rFonts w:ascii="Times New Roman" w:hAnsi="Times New Roman" w:cs="Times New Roman"/>
          <w:bCs/>
          <w:iCs/>
          <w:sz w:val="24"/>
          <w:szCs w:val="24"/>
        </w:rPr>
        <w:t xml:space="preserve"> </w:t>
      </w:r>
      <w:r w:rsidR="009E1DC2" w:rsidRPr="00CB33AE">
        <w:rPr>
          <w:rFonts w:ascii="Times New Roman" w:hAnsi="Times New Roman" w:cs="Times New Roman"/>
          <w:bCs/>
          <w:iCs/>
          <w:sz w:val="24"/>
          <w:szCs w:val="24"/>
        </w:rPr>
        <w:t>is toegelicht in paragraaf 4</w:t>
      </w:r>
      <w:r w:rsidR="00BB32B7" w:rsidRPr="00CB33AE">
        <w:rPr>
          <w:rFonts w:ascii="Times New Roman" w:hAnsi="Times New Roman" w:cs="Times New Roman"/>
          <w:bCs/>
          <w:iCs/>
          <w:sz w:val="24"/>
          <w:szCs w:val="24"/>
        </w:rPr>
        <w:t xml:space="preserve">.2 </w:t>
      </w:r>
      <w:r w:rsidRPr="00CB33AE">
        <w:rPr>
          <w:rFonts w:ascii="Times New Roman" w:hAnsi="Times New Roman" w:cs="Times New Roman"/>
          <w:bCs/>
          <w:iCs/>
          <w:sz w:val="24"/>
          <w:szCs w:val="24"/>
        </w:rPr>
        <w:t>van het algemene deel van deze toelichting</w:t>
      </w:r>
      <w:r w:rsidR="00BB32B7" w:rsidRPr="00CB33AE">
        <w:rPr>
          <w:rFonts w:ascii="Times New Roman" w:hAnsi="Times New Roman" w:cs="Times New Roman"/>
          <w:bCs/>
          <w:iCs/>
          <w:sz w:val="24"/>
          <w:szCs w:val="24"/>
        </w:rPr>
        <w:t>.</w:t>
      </w:r>
    </w:p>
    <w:p w:rsidR="00F118F3" w:rsidRPr="00CB33AE" w:rsidRDefault="00F118F3">
      <w:pPr>
        <w:pStyle w:val="NoSpacing"/>
        <w:rPr>
          <w:rFonts w:ascii="Times New Roman" w:hAnsi="Times New Roman" w:cs="Times New Roman"/>
          <w:bCs/>
          <w:i/>
          <w:iCs/>
          <w:sz w:val="24"/>
          <w:szCs w:val="24"/>
        </w:rPr>
      </w:pPr>
    </w:p>
    <w:p w:rsidR="00F118F3" w:rsidRPr="00CB33AE" w:rsidRDefault="00F118F3">
      <w:pPr>
        <w:pStyle w:val="NoSpacing"/>
        <w:rPr>
          <w:rFonts w:ascii="Times New Roman" w:hAnsi="Times New Roman" w:cs="Times New Roman"/>
          <w:bCs/>
          <w:i/>
          <w:iCs/>
          <w:sz w:val="24"/>
          <w:szCs w:val="24"/>
        </w:rPr>
      </w:pPr>
      <w:r w:rsidRPr="00CB33AE">
        <w:rPr>
          <w:rFonts w:ascii="Times New Roman" w:hAnsi="Times New Roman" w:cs="Times New Roman"/>
          <w:bCs/>
          <w:i/>
          <w:iCs/>
          <w:sz w:val="24"/>
          <w:szCs w:val="24"/>
        </w:rPr>
        <w:t>Onderdeel C</w:t>
      </w:r>
    </w:p>
    <w:p w:rsidR="00F118F3" w:rsidRPr="00CB33AE" w:rsidRDefault="00F118F3">
      <w:pPr>
        <w:pStyle w:val="NoSpacing"/>
        <w:rPr>
          <w:rFonts w:ascii="Times New Roman" w:hAnsi="Times New Roman" w:cs="Times New Roman"/>
          <w:bCs/>
          <w:sz w:val="24"/>
          <w:szCs w:val="24"/>
        </w:rPr>
      </w:pPr>
    </w:p>
    <w:p w:rsidR="00BB32B7" w:rsidRPr="00CB33AE" w:rsidRDefault="00BB32B7" w:rsidP="00264E60">
      <w:pPr>
        <w:pStyle w:val="NoSpacing"/>
        <w:rPr>
          <w:rFonts w:ascii="Times New Roman" w:hAnsi="Times New Roman" w:cs="Times New Roman"/>
          <w:bCs/>
          <w:iCs/>
          <w:sz w:val="24"/>
          <w:szCs w:val="24"/>
        </w:rPr>
      </w:pPr>
      <w:r w:rsidRPr="00CB33AE">
        <w:rPr>
          <w:rFonts w:ascii="Times New Roman" w:hAnsi="Times New Roman" w:cs="Times New Roman"/>
          <w:bCs/>
          <w:sz w:val="24"/>
          <w:szCs w:val="24"/>
        </w:rPr>
        <w:t xml:space="preserve">De wijziging van </w:t>
      </w:r>
      <w:r w:rsidRPr="00CB33AE">
        <w:rPr>
          <w:rFonts w:ascii="Times New Roman" w:hAnsi="Times New Roman" w:cs="Times New Roman"/>
          <w:bCs/>
          <w:i/>
          <w:sz w:val="24"/>
          <w:szCs w:val="24"/>
        </w:rPr>
        <w:t xml:space="preserve">artikel 160 Sv </w:t>
      </w:r>
      <w:r w:rsidRPr="00CB33AE">
        <w:rPr>
          <w:rFonts w:ascii="Times New Roman" w:hAnsi="Times New Roman" w:cs="Times New Roman"/>
          <w:bCs/>
          <w:sz w:val="24"/>
          <w:szCs w:val="24"/>
        </w:rPr>
        <w:t xml:space="preserve">is toegelicht </w:t>
      </w:r>
      <w:r w:rsidRPr="00CB33AE">
        <w:rPr>
          <w:rFonts w:ascii="Times New Roman" w:hAnsi="Times New Roman" w:cs="Times New Roman"/>
          <w:bCs/>
          <w:iCs/>
          <w:sz w:val="24"/>
          <w:szCs w:val="24"/>
        </w:rPr>
        <w:t xml:space="preserve">in paragraaf </w:t>
      </w:r>
      <w:r w:rsidR="009E1DC2" w:rsidRPr="00CB33AE">
        <w:rPr>
          <w:rFonts w:ascii="Times New Roman" w:hAnsi="Times New Roman" w:cs="Times New Roman"/>
          <w:bCs/>
          <w:iCs/>
          <w:sz w:val="24"/>
          <w:szCs w:val="24"/>
        </w:rPr>
        <w:t>4</w:t>
      </w:r>
      <w:r w:rsidRPr="00CB33AE">
        <w:rPr>
          <w:rFonts w:ascii="Times New Roman" w:hAnsi="Times New Roman" w:cs="Times New Roman"/>
          <w:bCs/>
          <w:iCs/>
          <w:sz w:val="24"/>
          <w:szCs w:val="24"/>
        </w:rPr>
        <w:t>.3 van het algemene deel van deze toelichting.</w:t>
      </w:r>
      <w:r w:rsidR="00470142" w:rsidRPr="00CB33AE">
        <w:rPr>
          <w:rFonts w:ascii="Times New Roman" w:hAnsi="Times New Roman" w:cs="Times New Roman"/>
          <w:bCs/>
          <w:iCs/>
          <w:sz w:val="24"/>
          <w:szCs w:val="24"/>
        </w:rPr>
        <w:t xml:space="preserve"> Hier </w:t>
      </w:r>
      <w:r w:rsidR="006743B4" w:rsidRPr="00CB33AE">
        <w:rPr>
          <w:rFonts w:ascii="Times New Roman" w:hAnsi="Times New Roman" w:cs="Times New Roman"/>
          <w:bCs/>
          <w:iCs/>
          <w:sz w:val="24"/>
          <w:szCs w:val="24"/>
        </w:rPr>
        <w:t xml:space="preserve">kan nog worden opgemerkt dat voor </w:t>
      </w:r>
      <w:r w:rsidR="00470142" w:rsidRPr="00CB33AE">
        <w:rPr>
          <w:rFonts w:ascii="Times New Roman" w:hAnsi="Times New Roman" w:cs="Times New Roman"/>
          <w:bCs/>
          <w:iCs/>
          <w:sz w:val="24"/>
          <w:szCs w:val="24"/>
        </w:rPr>
        <w:t>de inlichtingen- en veiligheidsdiensten</w:t>
      </w:r>
      <w:r w:rsidR="006743B4" w:rsidRPr="00CB33AE">
        <w:rPr>
          <w:rFonts w:ascii="Times New Roman" w:hAnsi="Times New Roman" w:cs="Times New Roman"/>
          <w:bCs/>
          <w:iCs/>
          <w:sz w:val="24"/>
          <w:szCs w:val="24"/>
        </w:rPr>
        <w:t xml:space="preserve"> op grond van de Wet op inlichtingen- en veiligheidsdiensten een apart, van deze regeling te onderscheiden kader geldt, alsmede een geïnstitutionaliseerde procedure, voor het </w:t>
      </w:r>
      <w:r w:rsidR="00264E60" w:rsidRPr="00CB33AE">
        <w:rPr>
          <w:rFonts w:ascii="Times New Roman" w:hAnsi="Times New Roman" w:cs="Times New Roman"/>
          <w:bCs/>
          <w:iCs/>
          <w:sz w:val="24"/>
          <w:szCs w:val="24"/>
        </w:rPr>
        <w:t xml:space="preserve">– bij ambtsbericht – </w:t>
      </w:r>
      <w:r w:rsidR="006743B4" w:rsidRPr="00CB33AE">
        <w:rPr>
          <w:rFonts w:ascii="Times New Roman" w:hAnsi="Times New Roman" w:cs="Times New Roman"/>
          <w:bCs/>
          <w:iCs/>
          <w:sz w:val="24"/>
          <w:szCs w:val="24"/>
        </w:rPr>
        <w:t>ter kennis brengen van strafbare feiten aan het openbaar ministerie</w:t>
      </w:r>
      <w:r w:rsidR="00470142" w:rsidRPr="00CB33AE">
        <w:rPr>
          <w:rFonts w:ascii="Times New Roman" w:hAnsi="Times New Roman" w:cs="Times New Roman"/>
          <w:bCs/>
          <w:iCs/>
          <w:sz w:val="24"/>
          <w:szCs w:val="24"/>
        </w:rPr>
        <w:t xml:space="preserve">. </w:t>
      </w:r>
    </w:p>
    <w:p w:rsidR="00BB32B7" w:rsidRPr="00CB33AE" w:rsidRDefault="00BB32B7">
      <w:pPr>
        <w:pStyle w:val="NoSpacing"/>
        <w:rPr>
          <w:rFonts w:ascii="Times New Roman" w:hAnsi="Times New Roman" w:cs="Times New Roman"/>
          <w:bCs/>
          <w:sz w:val="24"/>
          <w:szCs w:val="24"/>
        </w:rPr>
      </w:pPr>
    </w:p>
    <w:p w:rsidR="00FF2C96" w:rsidRPr="00CB33AE" w:rsidRDefault="00FF2C96">
      <w:pPr>
        <w:pStyle w:val="NoSpacing"/>
        <w:rPr>
          <w:rFonts w:ascii="Times New Roman" w:hAnsi="Times New Roman" w:cs="Times New Roman"/>
          <w:bCs/>
          <w:sz w:val="24"/>
          <w:szCs w:val="24"/>
        </w:rPr>
      </w:pPr>
    </w:p>
    <w:p w:rsidR="00FC1286" w:rsidRPr="00CB33AE" w:rsidRDefault="00FC1286">
      <w:pPr>
        <w:pStyle w:val="NoSpacing"/>
        <w:rPr>
          <w:rFonts w:ascii="Times New Roman" w:hAnsi="Times New Roman" w:cs="Times New Roman"/>
          <w:bCs/>
          <w:sz w:val="24"/>
          <w:szCs w:val="24"/>
        </w:rPr>
      </w:pPr>
      <w:r w:rsidRPr="00CB33AE">
        <w:rPr>
          <w:rFonts w:ascii="Times New Roman" w:hAnsi="Times New Roman" w:cs="Times New Roman"/>
          <w:bCs/>
          <w:sz w:val="24"/>
          <w:szCs w:val="24"/>
        </w:rPr>
        <w:t>ARTIKELEN III - VI</w:t>
      </w:r>
    </w:p>
    <w:p w:rsidR="00132197" w:rsidRPr="00CB33AE" w:rsidRDefault="00132197">
      <w:pPr>
        <w:pStyle w:val="NoSpacing"/>
        <w:rPr>
          <w:rFonts w:ascii="Times New Roman" w:hAnsi="Times New Roman" w:cs="Times New Roman"/>
          <w:bCs/>
          <w:sz w:val="24"/>
          <w:szCs w:val="24"/>
        </w:rPr>
      </w:pPr>
    </w:p>
    <w:p w:rsidR="00006DBB" w:rsidRPr="00CB33AE" w:rsidRDefault="00006DBB" w:rsidP="007A7989">
      <w:pPr>
        <w:pStyle w:val="NoSpacing"/>
        <w:rPr>
          <w:rFonts w:ascii="Times New Roman" w:hAnsi="Times New Roman" w:cs="Times New Roman"/>
          <w:bCs/>
          <w:sz w:val="24"/>
          <w:szCs w:val="24"/>
        </w:rPr>
      </w:pPr>
      <w:r w:rsidRPr="00CB33AE">
        <w:rPr>
          <w:rFonts w:ascii="Times New Roman" w:hAnsi="Times New Roman" w:cs="Times New Roman"/>
          <w:bCs/>
          <w:sz w:val="24"/>
          <w:szCs w:val="24"/>
        </w:rPr>
        <w:t>Het betreft wijzigingen waarin de ontzetting van het kiesrecht – zo</w:t>
      </w:r>
      <w:r w:rsidR="009E1DC2" w:rsidRPr="00CB33AE">
        <w:rPr>
          <w:rFonts w:ascii="Times New Roman" w:hAnsi="Times New Roman" w:cs="Times New Roman"/>
          <w:bCs/>
          <w:sz w:val="24"/>
          <w:szCs w:val="24"/>
        </w:rPr>
        <w:t>als is toegelicht in paragraaf 4</w:t>
      </w:r>
      <w:r w:rsidRPr="00CB33AE">
        <w:rPr>
          <w:rFonts w:ascii="Times New Roman" w:hAnsi="Times New Roman" w:cs="Times New Roman"/>
          <w:bCs/>
          <w:sz w:val="24"/>
          <w:szCs w:val="24"/>
        </w:rPr>
        <w:t>.2 van het algemene deel van deze toelichting</w:t>
      </w:r>
      <w:r w:rsidR="00BB32B7" w:rsidRPr="00CB33AE">
        <w:rPr>
          <w:rFonts w:ascii="Times New Roman" w:hAnsi="Times New Roman" w:cs="Times New Roman"/>
          <w:bCs/>
          <w:sz w:val="24"/>
          <w:szCs w:val="24"/>
        </w:rPr>
        <w:t xml:space="preserve"> </w:t>
      </w:r>
      <w:r w:rsidRPr="00CB33AE">
        <w:rPr>
          <w:rFonts w:ascii="Times New Roman" w:hAnsi="Times New Roman" w:cs="Times New Roman"/>
          <w:bCs/>
          <w:sz w:val="24"/>
          <w:szCs w:val="24"/>
        </w:rPr>
        <w:t xml:space="preserve"> – mogelijk wordt voor terroristische misdrijven opgenomen in een</w:t>
      </w:r>
      <w:r w:rsidRPr="007A7989">
        <w:rPr>
          <w:rFonts w:ascii="Times New Roman" w:hAnsi="Times New Roman" w:cs="Times New Roman"/>
          <w:bCs/>
          <w:sz w:val="24"/>
          <w:szCs w:val="24"/>
        </w:rPr>
        <w:t xml:space="preserve"> aantal bijzondere wetten.</w:t>
      </w:r>
      <w:r w:rsidR="00BB32B7" w:rsidRPr="007A7989">
        <w:rPr>
          <w:rFonts w:ascii="Times New Roman" w:hAnsi="Times New Roman" w:cs="Times New Roman"/>
          <w:bCs/>
          <w:sz w:val="24"/>
          <w:szCs w:val="24"/>
        </w:rPr>
        <w:t xml:space="preserve"> Daarbij wordt de systematiek gevolgd zoals beschreven in de toelichting op Artikel I, onderdelen </w:t>
      </w:r>
      <w:r w:rsidR="007A7989" w:rsidRPr="007A7989">
        <w:rPr>
          <w:rFonts w:ascii="Times New Roman" w:hAnsi="Times New Roman" w:cs="Times New Roman"/>
          <w:bCs/>
          <w:sz w:val="24"/>
          <w:szCs w:val="24"/>
        </w:rPr>
        <w:t>C, D, G, H, J, K, L, N en O</w:t>
      </w:r>
      <w:r w:rsidR="00BB32B7" w:rsidRPr="007A7989">
        <w:rPr>
          <w:rFonts w:ascii="Times New Roman" w:hAnsi="Times New Roman" w:cs="Times New Roman"/>
          <w:bCs/>
          <w:sz w:val="24"/>
          <w:szCs w:val="24"/>
        </w:rPr>
        <w:t xml:space="preserve"> hierboven in de </w:t>
      </w:r>
      <w:r w:rsidR="00BB32B7" w:rsidRPr="00CB33AE">
        <w:rPr>
          <w:rFonts w:ascii="Times New Roman" w:hAnsi="Times New Roman" w:cs="Times New Roman"/>
          <w:bCs/>
          <w:iCs/>
          <w:sz w:val="24"/>
          <w:szCs w:val="24"/>
        </w:rPr>
        <w:t>artikel</w:t>
      </w:r>
      <w:r w:rsidR="00455F97" w:rsidRPr="00CB33AE">
        <w:rPr>
          <w:rFonts w:ascii="Times New Roman" w:hAnsi="Times New Roman" w:cs="Times New Roman"/>
          <w:bCs/>
          <w:iCs/>
          <w:sz w:val="24"/>
          <w:szCs w:val="24"/>
        </w:rPr>
        <w:t>s</w:t>
      </w:r>
      <w:r w:rsidR="00BB32B7" w:rsidRPr="00CB33AE">
        <w:rPr>
          <w:rFonts w:ascii="Times New Roman" w:hAnsi="Times New Roman" w:cs="Times New Roman"/>
          <w:bCs/>
          <w:iCs/>
          <w:sz w:val="24"/>
          <w:szCs w:val="24"/>
        </w:rPr>
        <w:t>gewijze toelichting.</w:t>
      </w:r>
    </w:p>
    <w:p w:rsidR="00CA5F31" w:rsidRPr="00CB33AE" w:rsidRDefault="00CA5F31">
      <w:pPr>
        <w:rPr>
          <w:rFonts w:ascii="Times New Roman" w:hAnsi="Times New Roman" w:cs="Times New Roman"/>
          <w:bCs/>
          <w:sz w:val="24"/>
          <w:szCs w:val="24"/>
        </w:rPr>
      </w:pPr>
    </w:p>
    <w:p w:rsidR="00132197" w:rsidRPr="00CB33AE" w:rsidRDefault="00132197">
      <w:pPr>
        <w:pStyle w:val="NoSpacing"/>
        <w:rPr>
          <w:rFonts w:ascii="Times New Roman" w:hAnsi="Times New Roman" w:cs="Times New Roman"/>
          <w:bCs/>
          <w:sz w:val="24"/>
          <w:szCs w:val="24"/>
        </w:rPr>
      </w:pPr>
      <w:r w:rsidRPr="00CB33AE">
        <w:rPr>
          <w:rFonts w:ascii="Times New Roman" w:hAnsi="Times New Roman" w:cs="Times New Roman"/>
          <w:bCs/>
          <w:sz w:val="24"/>
          <w:szCs w:val="24"/>
        </w:rPr>
        <w:t>ARTIKEL VII</w:t>
      </w:r>
    </w:p>
    <w:p w:rsidR="00132197" w:rsidRPr="00CB33AE" w:rsidRDefault="00132197">
      <w:pPr>
        <w:pStyle w:val="NoSpacing"/>
        <w:rPr>
          <w:rFonts w:ascii="Times New Roman" w:hAnsi="Times New Roman" w:cs="Times New Roman"/>
          <w:bCs/>
          <w:sz w:val="24"/>
          <w:szCs w:val="24"/>
        </w:rPr>
      </w:pPr>
    </w:p>
    <w:p w:rsidR="00132197" w:rsidRPr="00CB33AE" w:rsidRDefault="00132197">
      <w:pPr>
        <w:pStyle w:val="NoSpacing"/>
        <w:rPr>
          <w:rFonts w:ascii="Times New Roman" w:hAnsi="Times New Roman" w:cs="Times New Roman"/>
          <w:bCs/>
          <w:sz w:val="24"/>
          <w:szCs w:val="24"/>
        </w:rPr>
      </w:pPr>
      <w:r w:rsidRPr="00CB33AE">
        <w:rPr>
          <w:rFonts w:ascii="Times New Roman" w:hAnsi="Times New Roman" w:cs="Times New Roman"/>
          <w:bCs/>
          <w:sz w:val="24"/>
          <w:szCs w:val="24"/>
        </w:rPr>
        <w:t>Het betreft een gebruikelijke inwerkingtredingsbepaling.</w:t>
      </w:r>
    </w:p>
    <w:p w:rsidR="00CA5F31" w:rsidRPr="00CB33AE" w:rsidRDefault="00CA5F31">
      <w:pPr>
        <w:pStyle w:val="NoSpacing"/>
        <w:rPr>
          <w:rFonts w:ascii="Times New Roman" w:hAnsi="Times New Roman" w:cs="Times New Roman"/>
          <w:bCs/>
          <w:sz w:val="24"/>
          <w:szCs w:val="24"/>
        </w:rPr>
      </w:pPr>
    </w:p>
    <w:p w:rsidR="00ED607D" w:rsidRDefault="00ED607D">
      <w:pPr>
        <w:pStyle w:val="NoSpacing"/>
        <w:rPr>
          <w:rFonts w:ascii="Times New Roman" w:hAnsi="Times New Roman" w:cs="Times New Roman"/>
          <w:bCs/>
          <w:sz w:val="24"/>
          <w:szCs w:val="24"/>
        </w:rPr>
      </w:pPr>
    </w:p>
    <w:p w:rsidR="00ED607D" w:rsidRPr="00CB33AE" w:rsidRDefault="00ED607D">
      <w:pPr>
        <w:pStyle w:val="NoSpacing"/>
        <w:rPr>
          <w:rFonts w:ascii="Times New Roman" w:hAnsi="Times New Roman" w:cs="Times New Roman"/>
          <w:bCs/>
          <w:sz w:val="24"/>
          <w:szCs w:val="24"/>
        </w:rPr>
      </w:pPr>
    </w:p>
    <w:p w:rsidR="00CA5F31" w:rsidRPr="00CB33AE" w:rsidRDefault="00CA5F31">
      <w:pPr>
        <w:pStyle w:val="NoSpacing"/>
        <w:rPr>
          <w:rFonts w:ascii="Times New Roman" w:hAnsi="Times New Roman" w:cs="Times New Roman"/>
          <w:bCs/>
          <w:sz w:val="24"/>
          <w:szCs w:val="24"/>
        </w:rPr>
      </w:pPr>
      <w:r w:rsidRPr="00CB33AE">
        <w:rPr>
          <w:rFonts w:ascii="Times New Roman" w:hAnsi="Times New Roman" w:cs="Times New Roman"/>
          <w:bCs/>
          <w:sz w:val="24"/>
          <w:szCs w:val="24"/>
        </w:rPr>
        <w:t>De Minister van Veiligheid en Justitie,</w:t>
      </w:r>
    </w:p>
    <w:p w:rsidR="00CA5F31" w:rsidRPr="00CB33AE" w:rsidRDefault="00CA5F31">
      <w:pPr>
        <w:pStyle w:val="NoSpacing"/>
        <w:rPr>
          <w:rFonts w:ascii="Times New Roman" w:hAnsi="Times New Roman" w:cs="Times New Roman"/>
          <w:bCs/>
          <w:sz w:val="24"/>
          <w:szCs w:val="24"/>
        </w:rPr>
      </w:pPr>
    </w:p>
    <w:p w:rsidR="00CA5F31" w:rsidRPr="00CB33AE" w:rsidRDefault="00CA5F31">
      <w:pPr>
        <w:pStyle w:val="NoSpacing"/>
        <w:rPr>
          <w:rFonts w:ascii="Times New Roman" w:hAnsi="Times New Roman" w:cs="Times New Roman"/>
          <w:bCs/>
          <w:sz w:val="24"/>
          <w:szCs w:val="24"/>
        </w:rPr>
      </w:pPr>
    </w:p>
    <w:sectPr w:rsidR="00CA5F31" w:rsidRPr="00CB33A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791" w:rsidRDefault="003E0791" w:rsidP="00D110FC">
      <w:pPr>
        <w:spacing w:after="0" w:line="240" w:lineRule="auto"/>
      </w:pPr>
      <w:r>
        <w:separator/>
      </w:r>
    </w:p>
  </w:endnote>
  <w:endnote w:type="continuationSeparator" w:id="0">
    <w:p w:rsidR="003E0791" w:rsidRDefault="003E0791" w:rsidP="00D1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91" w:rsidRDefault="003E0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376103"/>
      <w:docPartObj>
        <w:docPartGallery w:val="Page Numbers (Bottom of Page)"/>
        <w:docPartUnique/>
      </w:docPartObj>
    </w:sdtPr>
    <w:sdtEndPr/>
    <w:sdtContent>
      <w:p w:rsidR="003E0791" w:rsidRDefault="003E0791">
        <w:pPr>
          <w:pStyle w:val="Footer"/>
          <w:jc w:val="right"/>
        </w:pPr>
        <w:r>
          <w:fldChar w:fldCharType="begin"/>
        </w:r>
        <w:r>
          <w:instrText>PAGE   \* MERGEFORMAT</w:instrText>
        </w:r>
        <w:r>
          <w:fldChar w:fldCharType="separate"/>
        </w:r>
        <w:r w:rsidR="00880E5C">
          <w:rPr>
            <w:noProof/>
          </w:rPr>
          <w:t>1</w:t>
        </w:r>
        <w:r>
          <w:fldChar w:fldCharType="end"/>
        </w:r>
      </w:p>
    </w:sdtContent>
  </w:sdt>
  <w:p w:rsidR="003E0791" w:rsidRDefault="003E07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91" w:rsidRDefault="003E0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791" w:rsidRDefault="003E0791" w:rsidP="00D110FC">
      <w:pPr>
        <w:spacing w:after="0" w:line="240" w:lineRule="auto"/>
      </w:pPr>
      <w:r>
        <w:separator/>
      </w:r>
    </w:p>
  </w:footnote>
  <w:footnote w:type="continuationSeparator" w:id="0">
    <w:p w:rsidR="003E0791" w:rsidRDefault="003E0791" w:rsidP="00D11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91" w:rsidRDefault="003E0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91" w:rsidRDefault="003E07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791" w:rsidRDefault="003E0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853"/>
    <w:rsid w:val="00000BE1"/>
    <w:rsid w:val="000033BC"/>
    <w:rsid w:val="00004130"/>
    <w:rsid w:val="00006DBB"/>
    <w:rsid w:val="00015BD2"/>
    <w:rsid w:val="000210CD"/>
    <w:rsid w:val="00021201"/>
    <w:rsid w:val="0002222F"/>
    <w:rsid w:val="00024711"/>
    <w:rsid w:val="00035E74"/>
    <w:rsid w:val="00036B66"/>
    <w:rsid w:val="00036FD2"/>
    <w:rsid w:val="000434E6"/>
    <w:rsid w:val="0004595D"/>
    <w:rsid w:val="00047A3B"/>
    <w:rsid w:val="00061DA0"/>
    <w:rsid w:val="0006406D"/>
    <w:rsid w:val="000661FD"/>
    <w:rsid w:val="00066E86"/>
    <w:rsid w:val="00067B5F"/>
    <w:rsid w:val="00082494"/>
    <w:rsid w:val="000835DF"/>
    <w:rsid w:val="00087F8E"/>
    <w:rsid w:val="000945E1"/>
    <w:rsid w:val="000A25C0"/>
    <w:rsid w:val="000A4BBE"/>
    <w:rsid w:val="000B3F79"/>
    <w:rsid w:val="000D3ABA"/>
    <w:rsid w:val="000D4D7C"/>
    <w:rsid w:val="000E35F5"/>
    <w:rsid w:val="0010282C"/>
    <w:rsid w:val="0010614C"/>
    <w:rsid w:val="0010777A"/>
    <w:rsid w:val="00111FE6"/>
    <w:rsid w:val="00113BD8"/>
    <w:rsid w:val="001151ED"/>
    <w:rsid w:val="0012053A"/>
    <w:rsid w:val="0012448A"/>
    <w:rsid w:val="00132197"/>
    <w:rsid w:val="00143880"/>
    <w:rsid w:val="00146F13"/>
    <w:rsid w:val="00150005"/>
    <w:rsid w:val="0015431E"/>
    <w:rsid w:val="00155607"/>
    <w:rsid w:val="0016007B"/>
    <w:rsid w:val="00165C7D"/>
    <w:rsid w:val="001669EC"/>
    <w:rsid w:val="001A7575"/>
    <w:rsid w:val="001B61D9"/>
    <w:rsid w:val="001B6EB7"/>
    <w:rsid w:val="001C0014"/>
    <w:rsid w:val="001C5B0D"/>
    <w:rsid w:val="001D0303"/>
    <w:rsid w:val="001D295D"/>
    <w:rsid w:val="001D7B52"/>
    <w:rsid w:val="001E2141"/>
    <w:rsid w:val="001E4881"/>
    <w:rsid w:val="001E6BCB"/>
    <w:rsid w:val="001F5844"/>
    <w:rsid w:val="002020A5"/>
    <w:rsid w:val="002036AB"/>
    <w:rsid w:val="00211818"/>
    <w:rsid w:val="002164A7"/>
    <w:rsid w:val="002267B7"/>
    <w:rsid w:val="00231E56"/>
    <w:rsid w:val="002336D8"/>
    <w:rsid w:val="0023541D"/>
    <w:rsid w:val="002356F9"/>
    <w:rsid w:val="002360B1"/>
    <w:rsid w:val="0023612D"/>
    <w:rsid w:val="00236D7C"/>
    <w:rsid w:val="00240475"/>
    <w:rsid w:val="00245E86"/>
    <w:rsid w:val="002603E0"/>
    <w:rsid w:val="00264E60"/>
    <w:rsid w:val="00270C25"/>
    <w:rsid w:val="00271328"/>
    <w:rsid w:val="00275412"/>
    <w:rsid w:val="00277157"/>
    <w:rsid w:val="00277D7D"/>
    <w:rsid w:val="002920E7"/>
    <w:rsid w:val="002960CC"/>
    <w:rsid w:val="002B0887"/>
    <w:rsid w:val="002B249C"/>
    <w:rsid w:val="002B3FAD"/>
    <w:rsid w:val="002B6A7C"/>
    <w:rsid w:val="002B6AF4"/>
    <w:rsid w:val="002C3227"/>
    <w:rsid w:val="002D38EA"/>
    <w:rsid w:val="002E41F3"/>
    <w:rsid w:val="002E53F0"/>
    <w:rsid w:val="002E7F3E"/>
    <w:rsid w:val="002F06BC"/>
    <w:rsid w:val="0030291F"/>
    <w:rsid w:val="00305D5E"/>
    <w:rsid w:val="0033499F"/>
    <w:rsid w:val="00336BD0"/>
    <w:rsid w:val="0033786B"/>
    <w:rsid w:val="003410E0"/>
    <w:rsid w:val="00344706"/>
    <w:rsid w:val="003450B4"/>
    <w:rsid w:val="00345158"/>
    <w:rsid w:val="00346D44"/>
    <w:rsid w:val="00347075"/>
    <w:rsid w:val="00351397"/>
    <w:rsid w:val="003646C7"/>
    <w:rsid w:val="0037052C"/>
    <w:rsid w:val="00372713"/>
    <w:rsid w:val="0037361F"/>
    <w:rsid w:val="00374595"/>
    <w:rsid w:val="0038137E"/>
    <w:rsid w:val="003813A6"/>
    <w:rsid w:val="00382891"/>
    <w:rsid w:val="003841F2"/>
    <w:rsid w:val="00387499"/>
    <w:rsid w:val="003977BB"/>
    <w:rsid w:val="003A043B"/>
    <w:rsid w:val="003A2665"/>
    <w:rsid w:val="003A5CB8"/>
    <w:rsid w:val="003A6572"/>
    <w:rsid w:val="003B5242"/>
    <w:rsid w:val="003C4F31"/>
    <w:rsid w:val="003D2FCB"/>
    <w:rsid w:val="003E0791"/>
    <w:rsid w:val="003E26E2"/>
    <w:rsid w:val="003E4034"/>
    <w:rsid w:val="003E71FC"/>
    <w:rsid w:val="003E72A7"/>
    <w:rsid w:val="003E79AF"/>
    <w:rsid w:val="003E7AB1"/>
    <w:rsid w:val="003F690F"/>
    <w:rsid w:val="0040116C"/>
    <w:rsid w:val="00402DF4"/>
    <w:rsid w:val="004074C2"/>
    <w:rsid w:val="00413A29"/>
    <w:rsid w:val="004221D1"/>
    <w:rsid w:val="004233D3"/>
    <w:rsid w:val="0042366D"/>
    <w:rsid w:val="00423A4F"/>
    <w:rsid w:val="00425169"/>
    <w:rsid w:val="0042716E"/>
    <w:rsid w:val="004302BE"/>
    <w:rsid w:val="00435E41"/>
    <w:rsid w:val="00436C6E"/>
    <w:rsid w:val="004422D1"/>
    <w:rsid w:val="004544F3"/>
    <w:rsid w:val="00455E47"/>
    <w:rsid w:val="00455F97"/>
    <w:rsid w:val="00464E6E"/>
    <w:rsid w:val="0046664C"/>
    <w:rsid w:val="00470142"/>
    <w:rsid w:val="0047209D"/>
    <w:rsid w:val="0047600A"/>
    <w:rsid w:val="00476458"/>
    <w:rsid w:val="00482181"/>
    <w:rsid w:val="00482305"/>
    <w:rsid w:val="004907EF"/>
    <w:rsid w:val="00492D5B"/>
    <w:rsid w:val="00497DEB"/>
    <w:rsid w:val="004A799F"/>
    <w:rsid w:val="004B20F2"/>
    <w:rsid w:val="004B6546"/>
    <w:rsid w:val="004D3C3B"/>
    <w:rsid w:val="004D4477"/>
    <w:rsid w:val="004D49FC"/>
    <w:rsid w:val="004D6014"/>
    <w:rsid w:val="004F4238"/>
    <w:rsid w:val="00506212"/>
    <w:rsid w:val="005102DF"/>
    <w:rsid w:val="005173C3"/>
    <w:rsid w:val="00520701"/>
    <w:rsid w:val="00533E39"/>
    <w:rsid w:val="00534303"/>
    <w:rsid w:val="00537023"/>
    <w:rsid w:val="00541318"/>
    <w:rsid w:val="005430A7"/>
    <w:rsid w:val="00544D9B"/>
    <w:rsid w:val="00545AD5"/>
    <w:rsid w:val="005477E8"/>
    <w:rsid w:val="00554D6B"/>
    <w:rsid w:val="005560BA"/>
    <w:rsid w:val="005708F2"/>
    <w:rsid w:val="00575E3B"/>
    <w:rsid w:val="0057663B"/>
    <w:rsid w:val="005817FC"/>
    <w:rsid w:val="005870B5"/>
    <w:rsid w:val="00587CF9"/>
    <w:rsid w:val="00594397"/>
    <w:rsid w:val="005947FF"/>
    <w:rsid w:val="005955BF"/>
    <w:rsid w:val="00597D4E"/>
    <w:rsid w:val="005A02C5"/>
    <w:rsid w:val="005A273A"/>
    <w:rsid w:val="005A768B"/>
    <w:rsid w:val="005B0885"/>
    <w:rsid w:val="005B3DA2"/>
    <w:rsid w:val="005B48ED"/>
    <w:rsid w:val="005B5C5C"/>
    <w:rsid w:val="005C3F46"/>
    <w:rsid w:val="005D1AC5"/>
    <w:rsid w:val="005D7A91"/>
    <w:rsid w:val="005E6DBA"/>
    <w:rsid w:val="005E7239"/>
    <w:rsid w:val="005F059C"/>
    <w:rsid w:val="005F7ED3"/>
    <w:rsid w:val="006046F5"/>
    <w:rsid w:val="00607CA0"/>
    <w:rsid w:val="00615BC5"/>
    <w:rsid w:val="00617CBB"/>
    <w:rsid w:val="00617E34"/>
    <w:rsid w:val="00624719"/>
    <w:rsid w:val="0063103B"/>
    <w:rsid w:val="00636B58"/>
    <w:rsid w:val="006411D0"/>
    <w:rsid w:val="006428D1"/>
    <w:rsid w:val="006435CA"/>
    <w:rsid w:val="00657859"/>
    <w:rsid w:val="00671BCF"/>
    <w:rsid w:val="006743B4"/>
    <w:rsid w:val="00677BF8"/>
    <w:rsid w:val="00681250"/>
    <w:rsid w:val="006823B2"/>
    <w:rsid w:val="00690687"/>
    <w:rsid w:val="00694AE0"/>
    <w:rsid w:val="006953DB"/>
    <w:rsid w:val="00696242"/>
    <w:rsid w:val="006A1E5D"/>
    <w:rsid w:val="006B2CAB"/>
    <w:rsid w:val="006B2E35"/>
    <w:rsid w:val="006B30D6"/>
    <w:rsid w:val="006B48B0"/>
    <w:rsid w:val="006B72DD"/>
    <w:rsid w:val="006C261E"/>
    <w:rsid w:val="006C71EC"/>
    <w:rsid w:val="006D1710"/>
    <w:rsid w:val="006D2465"/>
    <w:rsid w:val="006D6931"/>
    <w:rsid w:val="006E08FE"/>
    <w:rsid w:val="006E382D"/>
    <w:rsid w:val="006F1FCB"/>
    <w:rsid w:val="007023F3"/>
    <w:rsid w:val="0070271E"/>
    <w:rsid w:val="00702931"/>
    <w:rsid w:val="007153A8"/>
    <w:rsid w:val="00717E51"/>
    <w:rsid w:val="0072384E"/>
    <w:rsid w:val="00734D10"/>
    <w:rsid w:val="00736037"/>
    <w:rsid w:val="00740DE5"/>
    <w:rsid w:val="00746FFE"/>
    <w:rsid w:val="00754901"/>
    <w:rsid w:val="00760A67"/>
    <w:rsid w:val="007672B8"/>
    <w:rsid w:val="00773ED6"/>
    <w:rsid w:val="007779D6"/>
    <w:rsid w:val="00784EFF"/>
    <w:rsid w:val="007A1914"/>
    <w:rsid w:val="007A3028"/>
    <w:rsid w:val="007A5430"/>
    <w:rsid w:val="007A7989"/>
    <w:rsid w:val="007A7A9E"/>
    <w:rsid w:val="007B1D05"/>
    <w:rsid w:val="007B5AB3"/>
    <w:rsid w:val="007B6922"/>
    <w:rsid w:val="007B75D8"/>
    <w:rsid w:val="007C39DC"/>
    <w:rsid w:val="007C4916"/>
    <w:rsid w:val="007D7EE7"/>
    <w:rsid w:val="007E103B"/>
    <w:rsid w:val="007E17ED"/>
    <w:rsid w:val="007E25B5"/>
    <w:rsid w:val="007E5A93"/>
    <w:rsid w:val="008036CD"/>
    <w:rsid w:val="0081270D"/>
    <w:rsid w:val="008148B1"/>
    <w:rsid w:val="0081660E"/>
    <w:rsid w:val="00822B00"/>
    <w:rsid w:val="00824AF4"/>
    <w:rsid w:val="00826B0E"/>
    <w:rsid w:val="0083164E"/>
    <w:rsid w:val="008430E8"/>
    <w:rsid w:val="008447DF"/>
    <w:rsid w:val="0084726F"/>
    <w:rsid w:val="00874C88"/>
    <w:rsid w:val="00880E5C"/>
    <w:rsid w:val="00881008"/>
    <w:rsid w:val="00883731"/>
    <w:rsid w:val="008864E2"/>
    <w:rsid w:val="00896B09"/>
    <w:rsid w:val="008A18CC"/>
    <w:rsid w:val="008A4744"/>
    <w:rsid w:val="008A6ABF"/>
    <w:rsid w:val="008C3AF8"/>
    <w:rsid w:val="008C48C5"/>
    <w:rsid w:val="008F0429"/>
    <w:rsid w:val="008F0F7E"/>
    <w:rsid w:val="008F49D4"/>
    <w:rsid w:val="0091720B"/>
    <w:rsid w:val="00917732"/>
    <w:rsid w:val="009208B6"/>
    <w:rsid w:val="009218D8"/>
    <w:rsid w:val="0092312E"/>
    <w:rsid w:val="00931B8C"/>
    <w:rsid w:val="00933304"/>
    <w:rsid w:val="00940828"/>
    <w:rsid w:val="00951CDB"/>
    <w:rsid w:val="009529E8"/>
    <w:rsid w:val="0096236C"/>
    <w:rsid w:val="00964656"/>
    <w:rsid w:val="009647EC"/>
    <w:rsid w:val="00971D21"/>
    <w:rsid w:val="00973876"/>
    <w:rsid w:val="009751CA"/>
    <w:rsid w:val="00986B02"/>
    <w:rsid w:val="009A12D3"/>
    <w:rsid w:val="009A2DAB"/>
    <w:rsid w:val="009A345F"/>
    <w:rsid w:val="009A7BAB"/>
    <w:rsid w:val="009B19DB"/>
    <w:rsid w:val="009B393D"/>
    <w:rsid w:val="009B3FC1"/>
    <w:rsid w:val="009C0E3F"/>
    <w:rsid w:val="009C2576"/>
    <w:rsid w:val="009C491A"/>
    <w:rsid w:val="009C61DD"/>
    <w:rsid w:val="009D6725"/>
    <w:rsid w:val="009E1DC2"/>
    <w:rsid w:val="009E4944"/>
    <w:rsid w:val="009F4C01"/>
    <w:rsid w:val="00A04F3B"/>
    <w:rsid w:val="00A052F1"/>
    <w:rsid w:val="00A053D8"/>
    <w:rsid w:val="00A10A1D"/>
    <w:rsid w:val="00A11151"/>
    <w:rsid w:val="00A1166D"/>
    <w:rsid w:val="00A201A8"/>
    <w:rsid w:val="00A20DC6"/>
    <w:rsid w:val="00A229B3"/>
    <w:rsid w:val="00A2300D"/>
    <w:rsid w:val="00A23FC0"/>
    <w:rsid w:val="00A34206"/>
    <w:rsid w:val="00A52405"/>
    <w:rsid w:val="00A530D6"/>
    <w:rsid w:val="00A60336"/>
    <w:rsid w:val="00A612B4"/>
    <w:rsid w:val="00A621F5"/>
    <w:rsid w:val="00A658A3"/>
    <w:rsid w:val="00A67AC4"/>
    <w:rsid w:val="00A764B5"/>
    <w:rsid w:val="00A76BFC"/>
    <w:rsid w:val="00A80EA0"/>
    <w:rsid w:val="00A81B89"/>
    <w:rsid w:val="00A82546"/>
    <w:rsid w:val="00A86566"/>
    <w:rsid w:val="00A91C32"/>
    <w:rsid w:val="00AA714F"/>
    <w:rsid w:val="00AB36F8"/>
    <w:rsid w:val="00AB7093"/>
    <w:rsid w:val="00AB74DF"/>
    <w:rsid w:val="00AC10EA"/>
    <w:rsid w:val="00AC1836"/>
    <w:rsid w:val="00AF018F"/>
    <w:rsid w:val="00AF3DF1"/>
    <w:rsid w:val="00AF47E1"/>
    <w:rsid w:val="00AF4F8E"/>
    <w:rsid w:val="00AF633C"/>
    <w:rsid w:val="00B0774E"/>
    <w:rsid w:val="00B10441"/>
    <w:rsid w:val="00B154AE"/>
    <w:rsid w:val="00B25168"/>
    <w:rsid w:val="00B30AD5"/>
    <w:rsid w:val="00B32398"/>
    <w:rsid w:val="00B3358F"/>
    <w:rsid w:val="00B41D61"/>
    <w:rsid w:val="00B46985"/>
    <w:rsid w:val="00B5470F"/>
    <w:rsid w:val="00B66B1F"/>
    <w:rsid w:val="00B72E47"/>
    <w:rsid w:val="00B73119"/>
    <w:rsid w:val="00B8285B"/>
    <w:rsid w:val="00B82FFA"/>
    <w:rsid w:val="00B8527B"/>
    <w:rsid w:val="00B90C24"/>
    <w:rsid w:val="00B939E3"/>
    <w:rsid w:val="00B963B8"/>
    <w:rsid w:val="00BA177D"/>
    <w:rsid w:val="00BA64E8"/>
    <w:rsid w:val="00BA6FB6"/>
    <w:rsid w:val="00BA7F8F"/>
    <w:rsid w:val="00BB22E0"/>
    <w:rsid w:val="00BB3131"/>
    <w:rsid w:val="00BB32B7"/>
    <w:rsid w:val="00BC6DF3"/>
    <w:rsid w:val="00BD08F5"/>
    <w:rsid w:val="00BD23A1"/>
    <w:rsid w:val="00BD5B2C"/>
    <w:rsid w:val="00BE0F4D"/>
    <w:rsid w:val="00BE18A5"/>
    <w:rsid w:val="00BF1061"/>
    <w:rsid w:val="00BF1FD3"/>
    <w:rsid w:val="00BF2270"/>
    <w:rsid w:val="00BF28C4"/>
    <w:rsid w:val="00BF4E6D"/>
    <w:rsid w:val="00BF746B"/>
    <w:rsid w:val="00C0156A"/>
    <w:rsid w:val="00C0292E"/>
    <w:rsid w:val="00C04C48"/>
    <w:rsid w:val="00C06CC2"/>
    <w:rsid w:val="00C1429A"/>
    <w:rsid w:val="00C17A1A"/>
    <w:rsid w:val="00C21A9F"/>
    <w:rsid w:val="00C25B15"/>
    <w:rsid w:val="00C3187D"/>
    <w:rsid w:val="00C4130D"/>
    <w:rsid w:val="00C464C2"/>
    <w:rsid w:val="00C46BD4"/>
    <w:rsid w:val="00C72BDC"/>
    <w:rsid w:val="00C76F23"/>
    <w:rsid w:val="00C77C65"/>
    <w:rsid w:val="00C8009D"/>
    <w:rsid w:val="00C87843"/>
    <w:rsid w:val="00C87D7C"/>
    <w:rsid w:val="00C9184C"/>
    <w:rsid w:val="00C953A3"/>
    <w:rsid w:val="00CA5A7B"/>
    <w:rsid w:val="00CA5F31"/>
    <w:rsid w:val="00CA6985"/>
    <w:rsid w:val="00CB33AE"/>
    <w:rsid w:val="00CD2E47"/>
    <w:rsid w:val="00CD3DF9"/>
    <w:rsid w:val="00CD7395"/>
    <w:rsid w:val="00CE06D5"/>
    <w:rsid w:val="00CE761F"/>
    <w:rsid w:val="00D110FC"/>
    <w:rsid w:val="00D14766"/>
    <w:rsid w:val="00D25AF0"/>
    <w:rsid w:val="00D264E5"/>
    <w:rsid w:val="00D36855"/>
    <w:rsid w:val="00D46354"/>
    <w:rsid w:val="00D5165E"/>
    <w:rsid w:val="00D6053D"/>
    <w:rsid w:val="00D62FB1"/>
    <w:rsid w:val="00D8057C"/>
    <w:rsid w:val="00D85C26"/>
    <w:rsid w:val="00D86D53"/>
    <w:rsid w:val="00D91884"/>
    <w:rsid w:val="00D92405"/>
    <w:rsid w:val="00D92565"/>
    <w:rsid w:val="00D93489"/>
    <w:rsid w:val="00D949D2"/>
    <w:rsid w:val="00DA506C"/>
    <w:rsid w:val="00DA530F"/>
    <w:rsid w:val="00DA6517"/>
    <w:rsid w:val="00DC1E4C"/>
    <w:rsid w:val="00DC47EF"/>
    <w:rsid w:val="00DC7AAF"/>
    <w:rsid w:val="00DD07FF"/>
    <w:rsid w:val="00DE2EE1"/>
    <w:rsid w:val="00DF3D6E"/>
    <w:rsid w:val="00E0678B"/>
    <w:rsid w:val="00E06EB3"/>
    <w:rsid w:val="00E074D9"/>
    <w:rsid w:val="00E132CD"/>
    <w:rsid w:val="00E13C71"/>
    <w:rsid w:val="00E209B2"/>
    <w:rsid w:val="00E227DF"/>
    <w:rsid w:val="00E40F35"/>
    <w:rsid w:val="00E42412"/>
    <w:rsid w:val="00E45758"/>
    <w:rsid w:val="00E510C3"/>
    <w:rsid w:val="00E54AA3"/>
    <w:rsid w:val="00E65324"/>
    <w:rsid w:val="00E822D6"/>
    <w:rsid w:val="00E92113"/>
    <w:rsid w:val="00E954BB"/>
    <w:rsid w:val="00EA26C4"/>
    <w:rsid w:val="00EA40D7"/>
    <w:rsid w:val="00EA7068"/>
    <w:rsid w:val="00EB2931"/>
    <w:rsid w:val="00EB2A69"/>
    <w:rsid w:val="00EC3783"/>
    <w:rsid w:val="00EC797C"/>
    <w:rsid w:val="00ED0696"/>
    <w:rsid w:val="00ED607D"/>
    <w:rsid w:val="00ED7853"/>
    <w:rsid w:val="00ED7DF1"/>
    <w:rsid w:val="00EE3274"/>
    <w:rsid w:val="00EE4956"/>
    <w:rsid w:val="00EE6405"/>
    <w:rsid w:val="00EF7E4E"/>
    <w:rsid w:val="00F01CEA"/>
    <w:rsid w:val="00F06A52"/>
    <w:rsid w:val="00F07A17"/>
    <w:rsid w:val="00F118F3"/>
    <w:rsid w:val="00F12FF0"/>
    <w:rsid w:val="00F3334B"/>
    <w:rsid w:val="00F40979"/>
    <w:rsid w:val="00F4178E"/>
    <w:rsid w:val="00F42EE0"/>
    <w:rsid w:val="00F543D4"/>
    <w:rsid w:val="00F55999"/>
    <w:rsid w:val="00F6593C"/>
    <w:rsid w:val="00F67D48"/>
    <w:rsid w:val="00F715C1"/>
    <w:rsid w:val="00F727B3"/>
    <w:rsid w:val="00F76093"/>
    <w:rsid w:val="00F77AD2"/>
    <w:rsid w:val="00F82B78"/>
    <w:rsid w:val="00F82BAC"/>
    <w:rsid w:val="00F872A0"/>
    <w:rsid w:val="00F87624"/>
    <w:rsid w:val="00FA0E02"/>
    <w:rsid w:val="00FB7186"/>
    <w:rsid w:val="00FC1286"/>
    <w:rsid w:val="00FC227D"/>
    <w:rsid w:val="00FD5748"/>
    <w:rsid w:val="00FD7D8A"/>
    <w:rsid w:val="00FE5466"/>
    <w:rsid w:val="00FE703C"/>
    <w:rsid w:val="00FE7299"/>
    <w:rsid w:val="00FF22A3"/>
    <w:rsid w:val="00FF2C96"/>
    <w:rsid w:val="00FF4494"/>
    <w:rsid w:val="00FF479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7853"/>
    <w:pPr>
      <w:spacing w:after="0" w:line="240" w:lineRule="auto"/>
    </w:pPr>
  </w:style>
  <w:style w:type="paragraph" w:styleId="FootnoteText">
    <w:name w:val="footnote text"/>
    <w:basedOn w:val="Normal"/>
    <w:link w:val="FootnoteTextChar"/>
    <w:uiPriority w:val="99"/>
    <w:semiHidden/>
    <w:unhideWhenUsed/>
    <w:rsid w:val="00D11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10FC"/>
    <w:rPr>
      <w:sz w:val="20"/>
      <w:szCs w:val="20"/>
    </w:rPr>
  </w:style>
  <w:style w:type="character" w:styleId="FootnoteReference">
    <w:name w:val="footnote reference"/>
    <w:basedOn w:val="DefaultParagraphFont"/>
    <w:uiPriority w:val="99"/>
    <w:semiHidden/>
    <w:unhideWhenUsed/>
    <w:rsid w:val="00D110FC"/>
    <w:rPr>
      <w:vertAlign w:val="superscript"/>
    </w:rPr>
  </w:style>
  <w:style w:type="paragraph" w:styleId="Header">
    <w:name w:val="header"/>
    <w:basedOn w:val="Normal"/>
    <w:link w:val="HeaderChar"/>
    <w:uiPriority w:val="99"/>
    <w:unhideWhenUsed/>
    <w:rsid w:val="00D11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0FC"/>
  </w:style>
  <w:style w:type="paragraph" w:styleId="Footer">
    <w:name w:val="footer"/>
    <w:basedOn w:val="Normal"/>
    <w:link w:val="FooterChar"/>
    <w:uiPriority w:val="99"/>
    <w:unhideWhenUsed/>
    <w:rsid w:val="00D11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0FC"/>
  </w:style>
  <w:style w:type="paragraph" w:styleId="BalloonText">
    <w:name w:val="Balloon Text"/>
    <w:basedOn w:val="Normal"/>
    <w:link w:val="BalloonTextChar"/>
    <w:uiPriority w:val="99"/>
    <w:semiHidden/>
    <w:unhideWhenUsed/>
    <w:rsid w:val="006E0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8FE"/>
    <w:rPr>
      <w:rFonts w:ascii="Tahoma" w:hAnsi="Tahoma" w:cs="Tahoma"/>
      <w:sz w:val="16"/>
      <w:szCs w:val="16"/>
    </w:rPr>
  </w:style>
  <w:style w:type="character" w:styleId="Hyperlink">
    <w:name w:val="Hyperlink"/>
    <w:basedOn w:val="DefaultParagraphFont"/>
    <w:uiPriority w:val="99"/>
    <w:unhideWhenUsed/>
    <w:rsid w:val="00D264E5"/>
    <w:rPr>
      <w:color w:val="0000FF" w:themeColor="hyperlink"/>
      <w:u w:val="single"/>
    </w:rPr>
  </w:style>
  <w:style w:type="character" w:styleId="CommentReference">
    <w:name w:val="annotation reference"/>
    <w:basedOn w:val="DefaultParagraphFont"/>
    <w:uiPriority w:val="99"/>
    <w:semiHidden/>
    <w:unhideWhenUsed/>
    <w:rsid w:val="00497DEB"/>
    <w:rPr>
      <w:sz w:val="16"/>
      <w:szCs w:val="16"/>
    </w:rPr>
  </w:style>
  <w:style w:type="paragraph" w:styleId="CommentText">
    <w:name w:val="annotation text"/>
    <w:basedOn w:val="Normal"/>
    <w:link w:val="CommentTextChar"/>
    <w:uiPriority w:val="99"/>
    <w:semiHidden/>
    <w:unhideWhenUsed/>
    <w:rsid w:val="00497DEB"/>
    <w:pPr>
      <w:spacing w:line="240" w:lineRule="auto"/>
    </w:pPr>
    <w:rPr>
      <w:sz w:val="20"/>
      <w:szCs w:val="20"/>
    </w:rPr>
  </w:style>
  <w:style w:type="character" w:customStyle="1" w:styleId="CommentTextChar">
    <w:name w:val="Comment Text Char"/>
    <w:basedOn w:val="DefaultParagraphFont"/>
    <w:link w:val="CommentText"/>
    <w:uiPriority w:val="99"/>
    <w:semiHidden/>
    <w:rsid w:val="00497DEB"/>
    <w:rPr>
      <w:sz w:val="20"/>
      <w:szCs w:val="20"/>
    </w:rPr>
  </w:style>
  <w:style w:type="paragraph" w:styleId="CommentSubject">
    <w:name w:val="annotation subject"/>
    <w:basedOn w:val="CommentText"/>
    <w:next w:val="CommentText"/>
    <w:link w:val="CommentSubjectChar"/>
    <w:uiPriority w:val="99"/>
    <w:semiHidden/>
    <w:unhideWhenUsed/>
    <w:rsid w:val="00497DEB"/>
    <w:rPr>
      <w:b/>
      <w:bCs/>
    </w:rPr>
  </w:style>
  <w:style w:type="character" w:customStyle="1" w:styleId="CommentSubjectChar">
    <w:name w:val="Comment Subject Char"/>
    <w:basedOn w:val="CommentTextChar"/>
    <w:link w:val="CommentSubject"/>
    <w:uiPriority w:val="99"/>
    <w:semiHidden/>
    <w:rsid w:val="00497D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7853"/>
    <w:pPr>
      <w:spacing w:after="0" w:line="240" w:lineRule="auto"/>
    </w:pPr>
  </w:style>
  <w:style w:type="paragraph" w:styleId="FootnoteText">
    <w:name w:val="footnote text"/>
    <w:basedOn w:val="Normal"/>
    <w:link w:val="FootnoteTextChar"/>
    <w:uiPriority w:val="99"/>
    <w:semiHidden/>
    <w:unhideWhenUsed/>
    <w:rsid w:val="00D110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10FC"/>
    <w:rPr>
      <w:sz w:val="20"/>
      <w:szCs w:val="20"/>
    </w:rPr>
  </w:style>
  <w:style w:type="character" w:styleId="FootnoteReference">
    <w:name w:val="footnote reference"/>
    <w:basedOn w:val="DefaultParagraphFont"/>
    <w:uiPriority w:val="99"/>
    <w:semiHidden/>
    <w:unhideWhenUsed/>
    <w:rsid w:val="00D110FC"/>
    <w:rPr>
      <w:vertAlign w:val="superscript"/>
    </w:rPr>
  </w:style>
  <w:style w:type="paragraph" w:styleId="Header">
    <w:name w:val="header"/>
    <w:basedOn w:val="Normal"/>
    <w:link w:val="HeaderChar"/>
    <w:uiPriority w:val="99"/>
    <w:unhideWhenUsed/>
    <w:rsid w:val="00D11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0FC"/>
  </w:style>
  <w:style w:type="paragraph" w:styleId="Footer">
    <w:name w:val="footer"/>
    <w:basedOn w:val="Normal"/>
    <w:link w:val="FooterChar"/>
    <w:uiPriority w:val="99"/>
    <w:unhideWhenUsed/>
    <w:rsid w:val="00D11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0FC"/>
  </w:style>
  <w:style w:type="paragraph" w:styleId="BalloonText">
    <w:name w:val="Balloon Text"/>
    <w:basedOn w:val="Normal"/>
    <w:link w:val="BalloonTextChar"/>
    <w:uiPriority w:val="99"/>
    <w:semiHidden/>
    <w:unhideWhenUsed/>
    <w:rsid w:val="006E0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8FE"/>
    <w:rPr>
      <w:rFonts w:ascii="Tahoma" w:hAnsi="Tahoma" w:cs="Tahoma"/>
      <w:sz w:val="16"/>
      <w:szCs w:val="16"/>
    </w:rPr>
  </w:style>
  <w:style w:type="character" w:styleId="Hyperlink">
    <w:name w:val="Hyperlink"/>
    <w:basedOn w:val="DefaultParagraphFont"/>
    <w:uiPriority w:val="99"/>
    <w:unhideWhenUsed/>
    <w:rsid w:val="00D264E5"/>
    <w:rPr>
      <w:color w:val="0000FF" w:themeColor="hyperlink"/>
      <w:u w:val="single"/>
    </w:rPr>
  </w:style>
  <w:style w:type="character" w:styleId="CommentReference">
    <w:name w:val="annotation reference"/>
    <w:basedOn w:val="DefaultParagraphFont"/>
    <w:uiPriority w:val="99"/>
    <w:semiHidden/>
    <w:unhideWhenUsed/>
    <w:rsid w:val="00497DEB"/>
    <w:rPr>
      <w:sz w:val="16"/>
      <w:szCs w:val="16"/>
    </w:rPr>
  </w:style>
  <w:style w:type="paragraph" w:styleId="CommentText">
    <w:name w:val="annotation text"/>
    <w:basedOn w:val="Normal"/>
    <w:link w:val="CommentTextChar"/>
    <w:uiPriority w:val="99"/>
    <w:semiHidden/>
    <w:unhideWhenUsed/>
    <w:rsid w:val="00497DEB"/>
    <w:pPr>
      <w:spacing w:line="240" w:lineRule="auto"/>
    </w:pPr>
    <w:rPr>
      <w:sz w:val="20"/>
      <w:szCs w:val="20"/>
    </w:rPr>
  </w:style>
  <w:style w:type="character" w:customStyle="1" w:styleId="CommentTextChar">
    <w:name w:val="Comment Text Char"/>
    <w:basedOn w:val="DefaultParagraphFont"/>
    <w:link w:val="CommentText"/>
    <w:uiPriority w:val="99"/>
    <w:semiHidden/>
    <w:rsid w:val="00497DEB"/>
    <w:rPr>
      <w:sz w:val="20"/>
      <w:szCs w:val="20"/>
    </w:rPr>
  </w:style>
  <w:style w:type="paragraph" w:styleId="CommentSubject">
    <w:name w:val="annotation subject"/>
    <w:basedOn w:val="CommentText"/>
    <w:next w:val="CommentText"/>
    <w:link w:val="CommentSubjectChar"/>
    <w:uiPriority w:val="99"/>
    <w:semiHidden/>
    <w:unhideWhenUsed/>
    <w:rsid w:val="00497DEB"/>
    <w:rPr>
      <w:b/>
      <w:bCs/>
    </w:rPr>
  </w:style>
  <w:style w:type="character" w:customStyle="1" w:styleId="CommentSubjectChar">
    <w:name w:val="Comment Subject Char"/>
    <w:basedOn w:val="CommentTextChar"/>
    <w:link w:val="CommentSubject"/>
    <w:uiPriority w:val="99"/>
    <w:semiHidden/>
    <w:rsid w:val="00497D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92181">
      <w:bodyDiv w:val="1"/>
      <w:marLeft w:val="0"/>
      <w:marRight w:val="0"/>
      <w:marTop w:val="0"/>
      <w:marBottom w:val="0"/>
      <w:divBdr>
        <w:top w:val="none" w:sz="0" w:space="0" w:color="auto"/>
        <w:left w:val="none" w:sz="0" w:space="0" w:color="auto"/>
        <w:bottom w:val="none" w:sz="0" w:space="0" w:color="auto"/>
        <w:right w:val="none" w:sz="0" w:space="0" w:color="auto"/>
      </w:divBdr>
    </w:div>
    <w:div w:id="135275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B21B340CE9A4A9E98CDCCF2AF9737" ma:contentTypeVersion="0" ma:contentTypeDescription="Een nieuw document maken." ma:contentTypeScope="" ma:versionID="8dc052080cd5e4e03610906c0519568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9AAE89-DECE-4D9E-9691-02FA1577DD5A}"/>
</file>

<file path=customXml/itemProps2.xml><?xml version="1.0" encoding="utf-8"?>
<ds:datastoreItem xmlns:ds="http://schemas.openxmlformats.org/officeDocument/2006/customXml" ds:itemID="{71847F08-F6DC-48E2-B792-5734ED9756D0}"/>
</file>

<file path=customXml/itemProps3.xml><?xml version="1.0" encoding="utf-8"?>
<ds:datastoreItem xmlns:ds="http://schemas.openxmlformats.org/officeDocument/2006/customXml" ds:itemID="{D22A2ADB-5661-494D-B4A6-78DB25ADEAB2}"/>
</file>

<file path=customXml/itemProps4.xml><?xml version="1.0" encoding="utf-8"?>
<ds:datastoreItem xmlns:ds="http://schemas.openxmlformats.org/officeDocument/2006/customXml" ds:itemID="{B9C6004E-DBC7-4F62-A38C-5E7404796769}"/>
</file>

<file path=docProps/app.xml><?xml version="1.0" encoding="utf-8"?>
<Properties xmlns="http://schemas.openxmlformats.org/officeDocument/2006/extended-properties" xmlns:vt="http://schemas.openxmlformats.org/officeDocument/2006/docPropsVTypes">
  <Template>Normal</Template>
  <TotalTime>0</TotalTime>
  <Pages>2</Pages>
  <Words>6505</Words>
  <Characters>35779</Characters>
  <Application>Microsoft Office Word</Application>
  <DocSecurity>0</DocSecurity>
  <Lines>298</Lines>
  <Paragraphs>84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2017-02-09T13:17:00Z</cp:lastPrinted>
  <dcterms:created xsi:type="dcterms:W3CDTF">2017-06-27T13:20:00Z</dcterms:created>
  <dcterms:modified xsi:type="dcterms:W3CDTF">2017-06-27T13:20:00Z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0x01010043AB21B340CE9A4A9E98CDCCF2AF9737</vt:lpwstr>
  </property>
</Properties>
</file>